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Interne Fallnotiz der Bank</w:t>
      </w:r>
    </w:p>
    <w:p>
      <w:pPr>
        <w:pStyle w:val="Heading1"/>
      </w:pPr>
      <w:r>
        <w:t>1. Anlass</w:t>
      </w:r>
    </w:p>
    <w:p>
      <w:r>
        <w:rPr>
          <w:b/>
        </w:rPr>
        <w:t>Bearbeiterin:</w:t>
      </w:r>
      <w:r>
        <w:t xml:space="preserve"> Bettina Karg. Stand: 22. Oktober 2026, 07:15 Uhr. Die Notiz dokumentiert den bankintern bekannten Sachstand; sie enthält keine rechtliche Bewertung.</w:t>
      </w:r>
    </w:p>
    <w:p>
      <w:r>
        <w:t>Die Kurpfalz Lichtbild GmbH befindet sich seit 30. September 2026 im eröffneten Insolvenzverfahren. Die Verwalterin hat am 20. Oktober einen Vertrag über das Filmpaket unterzeichnet und am 21. Oktober den Vollzug angekündigt.</w:t>
      </w:r>
    </w:p>
    <w:p>
      <w:pPr>
        <w:pStyle w:val="Heading1"/>
      </w:pPr>
      <w:r>
        <w:t>2. Finanzierung und Dokumentensätze</w:t>
      </w:r>
    </w:p>
    <w:p>
      <w:r>
        <w:t>Die Bank stellte 2024 eine Produktionslinie über 1.850.000 EUR und 2025 eine Fertigstellungstranche über 420.000 EUR bereit. Der Saldo laut Kreditbuch beträgt zum 30. September 2026 einschließlich Zinsen 1.476.830,44 EUR.</w:t>
      </w:r>
    </w:p>
    <w:p>
      <w:r>
        <w:rPr>
          <w:b/>
        </w:rPr>
        <w:t>Im Sicherheitentresor liegen drei gesonderte Urkunden:</w:t>
      </w:r>
      <w:r>
        <w:t xml:space="preserve"> IP-Sicherungsvertrag, Sicherungsübereignung von Mastermedien und Technik sowie Sicherungsabtretung von Lizenzforderungen. Ob alle Anlagen in der Schlussfassung gegengezeichnet wurden, ist offen.</w:t>
      </w:r>
    </w:p>
    <w:p>
      <w:pPr>
        <w:pStyle w:val="Heading1"/>
      </w:pPr>
      <w:r>
        <w:t>3. Produktionsstand</w:t>
      </w:r>
    </w:p>
    <w:p>
      <w:r>
        <w:t>Der Film hatte am 12. März 2026 Festivalpremiere in Heidelberg. Eine Kinofassung, eine Festivalfassung und eine barrierefreie Fassung werden in den Listen unterschieden. Die Bank erhielt bislang keine forensische Kopie der Masterdateien.</w:t>
      </w:r>
    </w:p>
    <w:p>
      <w:r>
        <w:t>Die laufende Auswertung erfolgt über Rheinbild Mediathek, Südwest-Fernsehkontor und Pfalzstern Filmverleih. Zahlungsanzeigen wurden nicht für alle Verträge bestätigt.</w:t>
      </w:r>
    </w:p>
    <w:p>
      <w:pPr>
        <w:pStyle w:val="Heading1"/>
      </w:pPr>
      <w:r>
        <w:t>4. Angekündigte Transaktion</w:t>
      </w:r>
    </w:p>
    <w:p>
      <w:r>
        <w:t>Der APA nennt einen Gesamtkaufpreis von 1.180.000 EUR. Davon sollen laut Kaufpreisallokation 30.000 EUR auf Hardware und Datenträger, 910.000 EUR auf die Rechtebibliothek und 240.000 EUR auf ausgewählte Forderungen entfallen.</w:t>
      </w:r>
    </w:p>
    <w:p>
      <w:r>
        <w:t>Die Erwerberin kündigt bereits eine Wiederveröffentlichung und internationale Untertitelung an. Der Bank ist weder eine Freigabeanforderung vor Signing noch ein belastbarer Vollzugsnachweis zugegangen.</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Die letzte Rieslingspur – Filmrechte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 Fallnotiz der Bank</dc:title>
  <dc:subject>Die letzte Rieslingspur – Filmrechte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