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Options- und Verfilmungsvertrag Romanvorlage</w:t>
      </w:r>
    </w:p>
    <w:p>
      <w:pPr>
        <w:pStyle w:val="Heading1"/>
      </w:pPr>
      <w:r>
        <w:t>1. Parteien und Werk</w:t>
      </w:r>
    </w:p>
    <w:p>
      <w:r>
        <w:t>Zwischen Dr. Alban Rösch, Deidesheim, als Autor und der Kurpfalz Lichtbild GmbH, Schwetzingen, als Produzentin wird am 6. Februar 2023 eine Option an dem Roman Reben im Nebel vereinbart.</w:t>
      </w:r>
    </w:p>
    <w:p>
      <w:r>
        <w:t>Der Autor versichert, über die für die vereinbarte Nutzung erforderlichen Rechte am Romantext zu verfügen. Ausgenommen sind die separat verlegten Hörbuchrechte.</w:t>
      </w:r>
    </w:p>
    <w:p>
      <w:pPr>
        <w:pStyle w:val="Heading1"/>
      </w:pPr>
      <w:r>
        <w:t>2. Option</w:t>
      </w:r>
    </w:p>
    <w:p>
      <w:r>
        <w:t>Die Produzentin erhält bis 31. Januar 2024 das ausschließliche Recht, die Verfilmungsrechte nach Maßgabe dieses Vertrags auszuüben. Die Option kann einmal gegen Zahlung von 7.500 EUR um zwölf Monate verlängert werden.</w:t>
      </w:r>
    </w:p>
    <w:p>
      <w:r>
        <w:t>Die Ausübung bedarf einer eindeutigen Erklärung in Textform und der Gutschrift der ersten Kaufpreisrate. Der vorliegenden Vertragskopie ist weder eine Ausübungserklärung noch ein Kontoauszug beigefügt.</w:t>
      </w:r>
    </w:p>
    <w:p>
      <w:pPr>
        <w:pStyle w:val="Heading1"/>
      </w:pPr>
      <w:r>
        <w:t>3. Rechte bei Ausübung</w:t>
      </w:r>
    </w:p>
    <w:p>
      <w:r>
        <w:t>Nach wirksamer Ausübung räumt der Autor für die Dauer der gesetzlichen Schutzfrist ausschließliche Rechte zur Herstellung und weltweiten Auswertung eines abendfüllenden Spielfilms ein. Bühnen-, Hörbuch- und eigenständige Serienrechte bleiben beim Autor.</w:t>
      </w:r>
    </w:p>
    <w:p>
      <w:r>
        <w:t>Fortsetzungen und Remakes bedürfen einer gesonderten Vereinbarung. Der Autor erhält eine Titel- und Namensnennung sowie eine erfolgsabhängige Beteiligung nach Erreichen definierter Nettoerlöse.</w:t>
      </w:r>
    </w:p>
    <w:p>
      <w:pPr>
        <w:pStyle w:val="Heading1"/>
      </w:pPr>
      <w:r>
        <w:t>4. Übertragung und Sicherung</w:t>
      </w:r>
    </w:p>
    <w:p>
      <w:r>
        <w:t>Die Produzentin darf die eingeräumten Rechte im Rahmen der Finanzierung zur Sicherheit übertragen und im Rahmen einer Veräußerung des Filmprojekts auf einen branchenerfahrenen Erwerber übertragen. Der Autor ist hierüber vor Vollzug in Textform zu unterrichten.</w:t>
      </w:r>
    </w:p>
    <w:p>
      <w:r>
        <w:t>Eine Entbindung der Produzentin von offenen Abrechnungs- und Beteiligungspflichten ist mit einer Übertragung nicht verbunden.</w:t>
      </w:r>
    </w:p>
    <w:p>
      <w:pPr>
        <w:pStyle w:val="Heading1"/>
      </w:pPr>
      <w:r>
        <w:t>5. Unterschriften</w:t>
      </w:r>
    </w:p>
    <w:p>
      <w:r>
        <w:t>Deidesheim, 6. Februar 2023 — Dr. Alban Rösch, handschriftlich unterzeichnet.</w:t>
      </w:r>
    </w:p>
    <w:p>
      <w:r>
        <w:t>Schwetzingen, 6. Februar 2023 — Kurpfalz Lichtbild GmbH, Konrad Riemenschneider, handschriftlich unterzeichnet.</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Die letzte Rieslingspur – Filmrechte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Options- und Verfilmungsvertrag Romanvorlage</dc:title>
  <dc:subject>Die letzte Rieslingspur – Filmrechte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