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Inventar- und Datenraumvermerk der Insolvenzverwalterin</w:t>
      </w:r>
    </w:p>
    <w:p>
      <w:pPr>
        <w:pStyle w:val="Heading1"/>
      </w:pPr>
      <w:r>
        <w:t>1. Aufnahme vor Ort</w:t>
      </w:r>
    </w:p>
    <w:p>
      <w:r>
        <w:t>Am 1. Oktober 2026 nahmen RA Pia Hofmeister und Sachbearbeiter Johann Neuner die Räume der Kurpfalz Lichtbild GmbH in Schwetzingen auf. LTO-KL-001 und RAID KL-RAID-02 wurden im Technikraum vorgefunden und mit Inventaretiketten versehen.</w:t>
      </w:r>
    </w:p>
    <w:p>
      <w:r>
        <w:t>LTO-KL-002 befindet sich nach Auskunft von Komet Postproduction in Mannheim. Eine Shuttle-SSD soll bei der Regisseurin liegen; eine weitere ist nicht auffindbar. Physische Herausgaben an Dritte sind bis Closing nicht dokumentiert.</w:t>
      </w:r>
    </w:p>
    <w:p>
      <w:pPr>
        <w:pStyle w:val="Heading1"/>
      </w:pPr>
      <w:r>
        <w:t>2. Digitale Zugänge</w:t>
      </w:r>
    </w:p>
    <w:p>
      <w:r>
        <w:t>Das Verwalterteam übernahm Administratorzugriff auf CloudVault, Produktionsserver und ScreenPass. Zwei Wiederherstellungsschlüssel liegen vor; die Übereinstimmung mit den Masterverschlüsselungen wurde noch nicht vollständig getestet.</w:t>
      </w:r>
    </w:p>
    <w:p>
      <w:r>
        <w:t>Für StudioCloud der Komponistin und das Regiearchiv bestehen keine Administrationsrechte der Schuldnerin.</w:t>
      </w:r>
    </w:p>
    <w:p>
      <w:pPr>
        <w:pStyle w:val="Heading1"/>
      </w:pPr>
      <w:r>
        <w:t>3. Verträge und Forderungen</w:t>
      </w:r>
    </w:p>
    <w:p>
      <w:r>
        <w:t>Im Datenraum wurden 47 Rechte-, Produktions- und Lizenzverträge erfasst. Die Rechtekettenmatrix weist vier offene Punkte aus. Eine gesonderte Forderungsmatrix nennt 321.628 EUR nominelle offene oder zukünftige Posten.</w:t>
      </w:r>
    </w:p>
    <w:p>
      <w:r>
        <w:t>Die Palatina Medienbank meldete telefonisch Rechte an IP, Mastermedien und Forderungen. Eine abschließende Abstimmung oder Freigabe fand bis zum Vermerk vom 18. Oktober nicht statt.</w:t>
      </w:r>
    </w:p>
    <w:p>
      <w:pPr>
        <w:pStyle w:val="Heading1"/>
      </w:pPr>
      <w:r>
        <w:t>4. Bieterverfahren</w:t>
      </w:r>
    </w:p>
    <w:p>
      <w:r>
        <w:t>Vier Interessenten erhielten einen anonymisierten Teaser, zwei einen Datenraumzugang. Weintor Streamworks legte das höchste Paketangebot vor und verlangte Closing bis Ende Oktober sowie Übergabe aller Master und Kundenbeziehungen.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Inventar- und Datenraumvermerk der Insolvenzverwalterin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