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Cloud-Abonnement PfalzForm Maschinenbau</w:t>
      </w:r>
    </w:p>
    <w:p>
      <w:pPr>
        <w:pStyle w:val="Heading1"/>
      </w:pPr>
      <w:r>
        <w:t>1. Vertragsparteien und Gegenstand</w:t>
      </w:r>
    </w:p>
    <w:p>
      <w:r>
        <w:t>Zwischen der Kurpfalz Taxware GmbH, Im Neuenheimer Feld 583, 69120 Heidelberg, und PfalzForm Maschinenbau GmbH, Floßwörthstraße 48, 68199 Mannheim, wird am 06.05.2025 dieser Softwarelizenz- und Pflegevertrag geschlossen.</w:t>
      </w:r>
    </w:p>
    <w:p>
      <w:r>
        <w:rPr>
          <w:b/>
        </w:rPr>
        <w:t>Vertragsgegenstand ist FiscusPilot Mittelstand Cloud mit LedgerFlow, Cash View und Steuerterminkalender für bis zu 120 aktive Accounts einschließlich fünf Administratoren. Bereitstellungsmodell:</w:t>
      </w:r>
      <w:r>
        <w:t xml:space="preserve"> mandantengetrennter Cloudbetrieb in deutschen Rechenzentren. Funktionsbeschreibungen und Systemvoraussetzungen ergeben sich aus Anlage 1.</w:t>
      </w:r>
    </w:p>
    <w:p>
      <w:pPr>
        <w:pStyle w:val="Heading1"/>
      </w:pPr>
      <w:r>
        <w:t>2. Nutzungsumfang</w:t>
      </w:r>
    </w:p>
    <w:p>
      <w:r>
        <w:t>Die Kundin erhält für die Vertragsdauer ein einfaches, nicht ausschließliches Recht, die Software im vereinbarten Umfang für eigene interne Geschäfts- und Beratungszwecke zu nutzen. Eine Bearbeitung ist nur für vertragsgemäße Konfigurationen und gesetzlich zwingend gestattete Handlungen zulässig.</w:t>
      </w:r>
    </w:p>
    <w:p>
      <w:r>
        <w:t>Vervielfältigungen sind nur als technisch erforderliche Installations-, Arbeits- und Sicherungskopien zulässig. Copyright-, Lizenz- und Herkunftsvermerke sind beizubehalten.</w:t>
      </w:r>
    </w:p>
    <w:p>
      <w:pPr>
        <w:pStyle w:val="Heading1"/>
      </w:pPr>
      <w:r>
        <w:t>3. Zugänge und Verantwortlichkeiten</w:t>
      </w:r>
    </w:p>
    <w:p>
      <w:r>
        <w:t>Zugänge sind natürlichen Personen zuzuordnen und vor Zugriffen Dritter zu schützen. Die Kundin sorgt für aktuelle Endgeräte, Browser und lokale Sicherungsabläufe, soweit das Bereitstellungsmodell dies verlangt.</w:t>
      </w:r>
    </w:p>
    <w:p>
      <w:r>
        <w:t>Die Anbieterin dokumentiert wesentliche Änderungen, stellt Release-Hinweise bereit und unterhält während der Servicezeiten einen Supportkanal.</w:t>
      </w:r>
    </w:p>
    <w:p>
      <w:pPr>
        <w:pStyle w:val="Heading1"/>
      </w:pPr>
      <w:r>
        <w:t>4. Vergütung</w:t>
      </w:r>
    </w:p>
    <w:p>
      <w:r>
        <w:t>Die vereinbarte Vergütung beträgt 7.800,00 EUR netto je Monat zuzüglich gesetzlicher Umsatzsteuer, davon 6.900,00 EUR für Cloud-Lizenz und Betrieb sowie 900,00 EUR für Premium-Support. Mehrnutzer werden mit 42,00 EUR netto je aktivem Account und Monat abgerechnet. Rechnungen sind 14 Tage nach Zugang ohne Abzug fällig. Reise- und Fremdkosten werden nur nach vorheriger Freigabe gesondert berechnet.</w:t>
      </w:r>
    </w:p>
    <w:p>
      <w:pPr>
        <w:pStyle w:val="Heading1"/>
      </w:pPr>
      <w:r>
        <w:t>5. Laufzeit und Kündigung</w:t>
      </w:r>
    </w:p>
    <w:p>
      <w:r>
        <w:t>Der Vertrag beginnt am 1. Juni 2025 und läuft zunächst 24 Monate. Danach verlängert er sich auf unbestimmte Zeit und kann mit drei Monaten Frist zum Monatsende gekündigt werden. Für die ersten 24 Monate ist eine ordentliche Kündigung ausgeschlossen.</w:t>
      </w:r>
    </w:p>
    <w:p>
      <w:r>
        <w:t>Das Recht zur Kündigung aus wichtigem Grund bleibt bestehen. Kündigungen bedürfen mindestens der Textform. Bei Vertragsende werden Exporte in den dokumentierten Standardformaten bereitgestellt, soweit sie vom gewählten Modul unterstützt werden.</w:t>
      </w:r>
    </w:p>
    <w:p>
      <w:pPr>
        <w:pStyle w:val="Heading1"/>
      </w:pPr>
      <w:r>
        <w:t>6. Übertragung und Vertragswechsel</w:t>
      </w:r>
    </w:p>
    <w:p>
      <w:r>
        <w:t>Die Anbieterin darf den Vertrag auf ein verbundenes Unternehmen oder auf einen Erwerber des gesamten FiscusPilot-Mittelstand-Geschäfts übertragen, wenn sie die Kundin mindestens 30 Tage vorher in Textform informiert und der neue Anbieter die Datenschutz-, Verfügbarkeits- und Supportpflichten übernimmt. Führt der Wechsel nachweisbar zu einer wesentlichen Verschlechterung, kann die Kundin innerhalb von 30 Tagen nach Information zum Wechselzeitpunkt kündigen. Andere Übertragungen bedürfen der Zustimmung der Kundin.</w:t>
      </w:r>
    </w:p>
    <w:p>
      <w:pPr>
        <w:pStyle w:val="Heading1"/>
      </w:pPr>
      <w:r>
        <w:t>7. Pflege und Verfügbarkeit</w:t>
      </w:r>
    </w:p>
    <w:p>
      <w:r>
        <w:t>Pflege umfasst Fehlerkorrekturen, gesetzlich veranlasste Regelupdates im vereinbarten Modul und reguläre Releases. Eine bestimmte steuerliche oder wirtschaftliche Entscheidung wird durch die Software nicht geschuldet.</w:t>
      </w:r>
    </w:p>
    <w:p>
      <w:r>
        <w:t>Geplante Wartungen sollen fünf Werktage vorher angekündigt werden. Zeiten höherer Gewalt, kundenseitiger Störungen und angekündigter Wartung werden bei der Verfügbarkeitsmessung nach Anlage 2 behandelt.</w:t>
      </w:r>
    </w:p>
    <w:p>
      <w:pPr>
        <w:pStyle w:val="Heading1"/>
      </w:pPr>
      <w:r>
        <w:t>8. Datenschutz und Vertraulichkeit</w:t>
      </w:r>
    </w:p>
    <w:p>
      <w:r>
        <w:t>Die Parteien behandeln vertrauliche Unterlagen und Zugangsdaten geheim. Soweit die Anbieterin personenbezogene Daten im Auftrag verarbeitet, gilt die gesonderte Vereinbarung zur Auftragsverarbeitung einschließlich der dort benannten Unterauftragnehmer.</w:t>
      </w:r>
    </w:p>
    <w:p>
      <w:pPr>
        <w:pStyle w:val="Heading1"/>
      </w:pPr>
      <w:r>
        <w:t>9. Besondere Vereinbarung</w:t>
      </w:r>
    </w:p>
    <w:p>
      <w:r>
        <w:t>Für den produktiven LedgerFlow-Import werden die in Anlage 3 bezeichneten ERP-Felder verarbeitet. Änderungen des Mapping-Schemas werden zunächst in einer Testumgebung bereitgestellt. Die Kundin erhält monatlich einen verschlüsselten Datenexport; Quellcode oder Build-Unterlagen sind nicht geschuldet.</w:t>
      </w:r>
    </w:p>
    <w:p>
      <w:pPr>
        <w:pStyle w:val="Heading1"/>
      </w:pPr>
      <w:r>
        <w:t>10. Haftung und Mängel</w:t>
      </w:r>
    </w:p>
    <w:p>
      <w:r>
        <w:t>Die gesetzlichen Mängelrechte gelten mit der Maßgabe, dass die Kundin reproduzierbare Fehler samt Umgebung und Arbeitsschritten meldet. Bei leichter Fahrlässigkeit haftet die Anbieterin nur bei Verletzung wesentlicher Vertragspflichten und begrenzt auf den vertragstypisch vorhersehbaren Schaden; zwingende Haftung bleibt unberührt.</w:t>
      </w:r>
    </w:p>
    <w:p>
      <w:pPr>
        <w:pStyle w:val="Heading1"/>
      </w:pPr>
      <w:r>
        <w:t>11. Schlussbestimmungen und Unterschriften</w:t>
      </w:r>
    </w:p>
    <w:p>
      <w:r>
        <w:t>Änderungen dieses Vertrags bedürfen der Textform, soweit keine strengere Form gesetzlich vorgeschrieben ist. Es gilt deutsches Recht. Anlagen 1 bis 3 sind Vertragsbestandteil.</w:t>
      </w:r>
    </w:p>
    <w:p>
      <w:r>
        <w:t>Heidelberg, 06.05.2025 — Kurpfalz Taxware GmbH, Nora Schenk, Prokuristin, handschriftlich unterzeichnet.</w:t>
      </w:r>
    </w:p>
    <w:p>
      <w:r>
        <w:t>PfalzForm Maschinenbau GmbH, 06.05.2025 — Katrin Damm, kaufmännische Geschäftsführerin, handschriftlich unterzeichnet.</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FiscusPilot – Software-IP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Cloud-Abonnement PfalzForm Maschinenbau</dc:title>
  <dc:subject>FiscusPilot – Software-IP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