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Zahlungsaufforderung und Anzeige der Verwertungsreife</w:t>
      </w:r>
    </w:p>
    <w:p>
      <w:r>
        <w:t>Die Rebenpfad Sicherheiten GmbH teilt der Kurpfalz Tonwerke GmbH mit</w:t>
        <w:br/>
        <w:t>Schreiben vom 15. Februar 2026 mit, dass das Darlehen am 31. Dezember 2025</w:t>
        <w:br/>
        <w:t>endfällig geworden sei. Ausgewiesen werden 200.000 Euro Kapital, 12.810</w:t>
        <w:br/>
        <w:t>Euro Zinsen bis zum 31. Dezember 2025 und 450 Euro Kosten. Die Zahlung soll</w:t>
        <w:br/>
        <w:t>bis zum 1. März 2026 auf das Konto der Rebenpfad Sicherheiten GmbH erfolgen.</w:t>
      </w:r>
    </w:p>
    <w:p>
      <w:r>
        <w:t>Das Schreiben verweist auf die Sicherungsübertragung der Marken. Es</w:t>
        <w:br/>
        <w:t>kündigt an, nach fruchtlosem Ablauf der Frist Verwertungsmöglichkeiten zu</w:t>
        <w:br/>
        <w:t>prüfen und die Rücklizenz zu widerrufen. Eine konkrete Art der Verwertung</w:t>
        <w:br/>
        <w:t>oder ein bestimmter Erwerber wird nicht genannt. Zugleich bietet Rebenpfad</w:t>
        <w:br/>
        <w:t>ein Gespräch über einen geordneten Verkauf einzelner Produktlinien an.</w:t>
      </w:r>
    </w:p>
    <w:p>
      <w:r>
        <w:t>Im letzten Absatz heißt es, die Annahme von Teilzahlungen stelle weder eine</w:t>
        <w:br/>
        <w:t>Stundung noch eine Freigabe von Sicherheiten dar. Das Schreiben ist von</w:t>
        <w:br/>
        <w:t>Pauline Roth und Tarek Mansour unterzeichnet. Der Einlieferungsbeleg weist</w:t>
        <w:br/>
        <w:t>eine Zustellung am 17. Februar 2026 aus; zusätzlich wurde am 15. Februar</w:t>
        <w:br/>
        <w:t>eine PDF-Fassung per E-Mail an Janis Heller gesandt.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Rheinpuls Audio – Marken im Asset Deal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Zahlungsaufforderung und Anzeige der Verwertungsreife</dc:title>
  <dc:subject>Rheinpuls Audio – Marken im Asset Deal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