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Rechtsmedizinischer Befundbericht</w:t>
      </w:r>
    </w:p>
    <w:p>
      <w:pPr>
        <w:jc w:val="left"/>
      </w:pPr>
      <w:r>
        <w:t>Institut für Rechtsmedizin der Universitätsmedizin Mainz, Am Pulverturm 3, 55131 Mainz</w:t>
      </w:r>
    </w:p>
    <w:p>
      <w:pPr>
        <w:jc w:val="left"/>
      </w:pPr>
      <w:r>
        <w:t>Untersuchungsnummer: RM-2026-0884 — Staatsanwaltschaft Mainz, 3 Js 3081/26</w:t>
      </w:r>
    </w:p>
    <w:p>
      <w:pPr>
        <w:pStyle w:val="Heading2"/>
      </w:pPr>
      <w:r>
        <w:rPr>
          <w:rFonts w:ascii="Times New Roman" w:hAnsi="Times New Roman"/>
        </w:rPr>
        <w:t>1 Untersuchung</w:t>
      </w:r>
    </w:p>
    <w:p>
      <w:pPr>
        <w:jc w:val="left"/>
      </w:pPr>
      <w:r>
        <w:t>Untersuchte Person: Frau Ilayda Demir, geboren am 09.12.2003</w:t>
      </w:r>
    </w:p>
    <w:p>
      <w:pPr>
        <w:jc w:val="left"/>
      </w:pPr>
      <w:r>
        <w:t>Zeitpunkt der Untersuchung: 06.04.2026, 14:20 bis 15:35 Uhr</w:t>
      </w:r>
    </w:p>
    <w:p>
      <w:pPr>
        <w:jc w:val="left"/>
      </w:pPr>
      <w:r>
        <w:t>Untersuchende Ärztin: Frau Dr. med. Sibylle Rautenberg, Fachärztin für Rechtsmedizin</w:t>
      </w:r>
    </w:p>
    <w:p>
      <w:pPr>
        <w:jc w:val="left"/>
      </w:pPr>
      <w:r>
        <w:t>Angegebener Vorfallszeitpunkt: Nacht vom 04. auf den 05.04.2026</w:t>
      </w:r>
    </w:p>
    <w:p>
      <w:pPr>
        <w:jc w:val="left"/>
      </w:pPr>
      <w:r>
        <w:t>Die Untersuchung erfolgte auf Wunsch der Untersuchten und nach schriftlicher Einwilligung, zunächst zur vertraulichen Spurensicherung ohne Anzeige.</w:t>
      </w:r>
    </w:p>
    <w:p>
      <w:pPr>
        <w:pStyle w:val="Heading2"/>
      </w:pPr>
      <w:r>
        <w:rPr>
          <w:rFonts w:ascii="Times New Roman" w:hAnsi="Times New Roman"/>
        </w:rPr>
        <w:t>2 Körperlicher Befund</w:t>
      </w:r>
    </w:p>
    <w:p>
      <w:pPr>
        <w:jc w:val="left"/>
      </w:pPr>
      <w:r>
        <w:t>2.1 Am linken Oberarm, streckseitig, finden sich drei runde Hautverfärbungen von je etwa 1,5 Zentimeter Durchmesser in bläulich-grüner Farbe, in einer Reihe angeordnet.</w:t>
      </w:r>
    </w:p>
    <w:p>
      <w:pPr>
        <w:jc w:val="left"/>
      </w:pPr>
      <w:r>
        <w:t>2.2 An der Innenseite beider Oberschenkel, handbreit oberhalb des Knies, finden sich flächige, blass-livide Verfärbungen von 4 mal 3 Zentimeter links und 3 mal 3 Zentimeter rechts.</w:t>
      </w:r>
    </w:p>
    <w:p>
      <w:pPr>
        <w:jc w:val="left"/>
      </w:pPr>
      <w:r>
        <w:t>2.3 Am rechten Handgelenk zeigt sich eine schmale, umlaufende Rötung ohne Substanzdefekt.</w:t>
      </w:r>
    </w:p>
    <w:p>
      <w:pPr>
        <w:jc w:val="left"/>
      </w:pPr>
      <w:r>
        <w:t>2.4 Im Genitalbereich finden sich keine frischen Verletzungen. Das Fehlen solcher Befunde ist bei dem geschilderten Geschehen nicht ungewöhnlich und spricht weder für noch gegen den geschilderten Ablauf.</w:t>
      </w:r>
    </w:p>
    <w:p>
      <w:pPr>
        <w:jc w:val="left"/>
      </w:pPr>
      <w:r>
        <w:t>Das Alter der unter 2.1 bis 2.3 beschriebenen Veränderungen lässt sich anhand der Farbgebung nur grob eingrenzen; es ist mit einer Entstehung im Zeitraum von etwa einem bis vier Tagen vor der Untersuchung vereinbar.</w:t>
      </w:r>
    </w:p>
    <w:p>
      <w:pPr>
        <w:pStyle w:val="Heading2"/>
      </w:pPr>
      <w:r>
        <w:rPr>
          <w:rFonts w:ascii="Times New Roman" w:hAnsi="Times New Roman"/>
        </w:rPr>
        <w:t>3 Spurensicherung</w:t>
      </w:r>
    </w:p>
    <w:p>
      <w:pPr>
        <w:jc w:val="left"/>
      </w:pPr>
      <w:r>
        <w:t>Gesichert wurden Abstriche aus Mundhöhle, Vagina und Analregion, Fingernagelmaterial beidseits sowie die von der Untersuchten mitgebrachte Kleidung (Unterwäsche, Kleid). Das Material wurde in der Asservatenkette unter RM-2026-0884/A1 bis A9 verwahrt.</w:t>
      </w:r>
    </w:p>
    <w:p>
      <w:pPr>
        <w:jc w:val="left"/>
      </w:pPr>
      <w:r>
        <w:t>Eine molekulargenetische Untersuchung wurde zum Zeitpunkt dieses Berichts noch nicht beauftragt; die Asservate lagern gekühlt.</w:t>
      </w:r>
    </w:p>
    <w:p>
      <w:pPr>
        <w:pStyle w:val="Heading2"/>
      </w:pPr>
      <w:r>
        <w:rPr>
          <w:rFonts w:ascii="Times New Roman" w:hAnsi="Times New Roman"/>
        </w:rPr>
        <w:t>4 Angaben der Untersuchten zum Ablauf</w:t>
      </w:r>
    </w:p>
    <w:p>
      <w:pPr>
        <w:jc w:val="left"/>
      </w:pPr>
      <w:r>
        <w:t>Die Untersuchte gab an, sie habe an dem Abend Alkohol getrunken und könne sich an Teile des Abends nicht erinnern. Eine Blut- oder Urinprobe zur Untersuchung auf Alkohol und Medikamente wurde bei der Untersuchung am 06.04.2026 abgenommen; wegen des zeitlichen Abstands von mehr als vierundzwanzig Stunden zum angegebenen Vorfall ist der Nachweiszeitraum für viele Substanzen bereits überschritten.</w:t>
      </w:r>
    </w:p>
    <w:p>
      <w:pPr>
        <w:jc w:val="left"/>
      </w:pPr>
      <w:r>
        <w:t>Mainz, den 07.04.2026 — Dr. med. Sibylle Rautenberg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Staatsanwaltschaft Mainz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Staatsanwaltschaft Mainz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3 Js 3081/26 · 3 Js 3081/26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