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Sicherstellungs- und Auswerteprotokoll zur Dashcam-Aufzeichnung</w:t>
      </w:r>
    </w:p>
    <w:p>
      <w:pPr>
        <w:jc w:val="left"/>
      </w:pPr>
      <w:r>
        <w:t>Polizei Berlin, Direktion Einsatz, Verkehrsermittlungsdienst, Tempelhofer Damm 1, 12101 Berlin</w:t>
      </w:r>
    </w:p>
    <w:p>
      <w:pPr>
        <w:jc w:val="left"/>
      </w:pPr>
      <w:r>
        <w:t>Vorgangsnummer: 260523-1188-047 — Staatsanwaltschaft Berlin, 304 Js 1288/26</w:t>
      </w:r>
    </w:p>
    <w:p>
      <w:pPr>
        <w:pStyle w:val="Heading2"/>
      </w:pPr>
      <w:r>
        <w:rPr>
          <w:rFonts w:ascii="Times New Roman" w:hAnsi="Times New Roman"/>
        </w:rPr>
        <w:t>1 Herkunft der Aufzeichnung</w:t>
      </w:r>
    </w:p>
    <w:p>
      <w:pPr>
        <w:jc w:val="left"/>
      </w:pPr>
      <w:r>
        <w:t>Die Aufzeichnung stammt aus dem Fahrzeug des unbeteiligten Zeugen Herrn Aleksander Wysocki, der am 23.05.2026 hinter den beteiligten Fahrzeugen fuhr. Herr Wysocki meldete sich am 25.05.2026 telefonisch bei der Dienststelle und übersandte am selben Tag eine Videodatei per E-Mail.</w:t>
      </w:r>
    </w:p>
    <w:p>
      <w:pPr>
        <w:jc w:val="left"/>
      </w:pPr>
      <w:r>
        <w:t>Am 28.05.2026 wurde die Original-Speicherkarte der Dashcam (Hersteller Nextbase, Modell 422GW, microSD 64 Gigabyte) in der Dienststelle ausgelesen und anschließend an Herrn Wysocki zurückgegeben.</w:t>
      </w:r>
    </w:p>
    <w:p>
      <w:pPr>
        <w:pStyle w:val="Heading2"/>
      </w:pPr>
      <w:r>
        <w:rPr>
          <w:rFonts w:ascii="Times New Roman" w:hAnsi="Times New Roman"/>
        </w:rPr>
        <w:t>2 Angaben zur Aufzeichnung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Aufnahmemodus</w:t>
            </w:r>
          </w:p>
        </w:tc>
        <w:tc>
          <w:tcPr>
            <w:tcW w:type="dxa" w:w="4536"/>
          </w:tcPr>
          <w:p>
            <w:r>
              <w:rPr>
                <w:rFonts w:ascii="Times New Roman" w:hAnsi="Times New Roman"/>
                <w:sz w:val="20"/>
              </w:rPr>
              <w:t>Dauerschleife, Segmentlänge drei Minuten, Überschreiben nach Speicherbelegung</w:t>
            </w:r>
          </w:p>
        </w:tc>
      </w:tr>
      <w:tr>
        <w:tc>
          <w:tcPr>
            <w:tcW w:type="dxa" w:w="4536"/>
          </w:tcPr>
          <w:p>
            <w:r>
              <w:rPr>
                <w:rFonts w:ascii="Times New Roman" w:hAnsi="Times New Roman"/>
                <w:sz w:val="20"/>
              </w:rPr>
              <w:t>Vorhandene Segmente zum Vorfall</w:t>
            </w:r>
          </w:p>
        </w:tc>
        <w:tc>
          <w:tcPr>
            <w:tcW w:type="dxa" w:w="4536"/>
          </w:tcPr>
          <w:p>
            <w:r>
              <w:rPr>
                <w:rFonts w:ascii="Times New Roman" w:hAnsi="Times New Roman"/>
                <w:sz w:val="20"/>
              </w:rPr>
              <w:t>zwei, 18:41:00 bis 18:44:00 und 18:44:00 bis 18:47:00 Uhr</w:t>
            </w:r>
          </w:p>
        </w:tc>
      </w:tr>
      <w:tr>
        <w:tc>
          <w:tcPr>
            <w:tcW w:type="dxa" w:w="4536"/>
          </w:tcPr>
          <w:p>
            <w:r>
              <w:rPr>
                <w:rFonts w:ascii="Times New Roman" w:hAnsi="Times New Roman"/>
                <w:sz w:val="20"/>
              </w:rPr>
              <w:t>Auflösung</w:t>
            </w:r>
          </w:p>
        </w:tc>
        <w:tc>
          <w:tcPr>
            <w:tcW w:type="dxa" w:w="4536"/>
          </w:tcPr>
          <w:p>
            <w:r>
              <w:rPr>
                <w:rFonts w:ascii="Times New Roman" w:hAnsi="Times New Roman"/>
                <w:sz w:val="20"/>
              </w:rPr>
              <w:t>1920 mal 1080 Bildpunkte, 30 Bilder je Sekunde</w:t>
            </w:r>
          </w:p>
        </w:tc>
      </w:tr>
      <w:tr>
        <w:tc>
          <w:tcPr>
            <w:tcW w:type="dxa" w:w="4536"/>
          </w:tcPr>
          <w:p>
            <w:r>
              <w:rPr>
                <w:rFonts w:ascii="Times New Roman" w:hAnsi="Times New Roman"/>
                <w:sz w:val="20"/>
              </w:rPr>
              <w:t>Eingeblendete Daten</w:t>
            </w:r>
          </w:p>
        </w:tc>
        <w:tc>
          <w:tcPr>
            <w:tcW w:type="dxa" w:w="4536"/>
          </w:tcPr>
          <w:p>
            <w:r>
              <w:rPr>
                <w:rFonts w:ascii="Times New Roman" w:hAnsi="Times New Roman"/>
                <w:sz w:val="20"/>
              </w:rPr>
              <w:t>Datum, Uhrzeit, Geschwindigkeit des aufzeichnenden Fahrzeugs, Satellitenposition</w:t>
            </w:r>
          </w:p>
        </w:tc>
      </w:tr>
      <w:tr>
        <w:tc>
          <w:tcPr>
            <w:tcW w:type="dxa" w:w="4536"/>
          </w:tcPr>
          <w:p>
            <w:r>
              <w:rPr>
                <w:rFonts w:ascii="Times New Roman" w:hAnsi="Times New Roman"/>
                <w:sz w:val="20"/>
              </w:rPr>
              <w:t>Abweichung der Kamerauhr</w:t>
            </w:r>
          </w:p>
        </w:tc>
        <w:tc>
          <w:tcPr>
            <w:tcW w:type="dxa" w:w="4536"/>
          </w:tcPr>
          <w:p>
            <w:r>
              <w:rPr>
                <w:rFonts w:ascii="Times New Roman" w:hAnsi="Times New Roman"/>
                <w:sz w:val="20"/>
              </w:rPr>
              <w:t>nach Abgleich mit der Zeitbasis der Dienststelle 47 Sekunden Vorlauf</w:t>
            </w:r>
          </w:p>
        </w:tc>
      </w:tr>
      <w:tr>
        <w:tc>
          <w:tcPr>
            <w:tcW w:type="dxa" w:w="4536"/>
          </w:tcPr>
          <w:p>
            <w:r>
              <w:rPr>
                <w:rFonts w:ascii="Times New Roman" w:hAnsi="Times New Roman"/>
                <w:sz w:val="20"/>
              </w:rPr>
              <w:t>Prüfsumme der ausgelesenen Datei</w:t>
            </w:r>
          </w:p>
        </w:tc>
        <w:tc>
          <w:tcPr>
            <w:tcW w:type="dxa" w:w="4536"/>
          </w:tcPr>
          <w:p>
            <w:r>
              <w:rPr>
                <w:rFonts w:ascii="Times New Roman" w:hAnsi="Times New Roman"/>
                <w:sz w:val="20"/>
              </w:rPr>
              <w:t>SHA-256, im Auslesebericht vermerkt</w:t>
            </w:r>
          </w:p>
        </w:tc>
      </w:tr>
    </w:tbl>
    <w:p>
      <w:pPr>
        <w:pStyle w:val="Heading2"/>
      </w:pPr>
      <w:r>
        <w:rPr>
          <w:rFonts w:ascii="Times New Roman" w:hAnsi="Times New Roman"/>
        </w:rPr>
        <w:t>3 Beobachtbarer Inhalt</w:t>
      </w:r>
    </w:p>
    <w:p>
      <w:pPr>
        <w:jc w:val="left"/>
      </w:pPr>
      <w:r>
        <w:t>Das erste Segment zeigt die Fahrt auf der Bundesallee stadteinwärts. Ab Sekunde 112 sind zwei Fahrzeuge im Bildvordergrund erkennbar, die nebeneinander fahren. Das zweite Segment endet mit dem Anhalten des aufzeichnenden Fahrzeugs an der Unfallstelle.</w:t>
      </w:r>
    </w:p>
    <w:p>
      <w:pPr>
        <w:jc w:val="left"/>
      </w:pPr>
      <w:r>
        <w:t>Die Kennzeichen der beteiligten Fahrzeuge sind in beiden Segmenten nur zeitweise und teilweise lesbar. Gesichter von Fußgängern auf den Gehwegen sind erkennbar.</w:t>
      </w:r>
    </w:p>
    <w:p>
      <w:pPr>
        <w:pStyle w:val="Heading2"/>
      </w:pPr>
      <w:r>
        <w:rPr>
          <w:rFonts w:ascii="Times New Roman" w:hAnsi="Times New Roman"/>
        </w:rPr>
        <w:t>4 Vermerke zur Verwendung</w:t>
      </w:r>
    </w:p>
    <w:p>
      <w:pPr>
        <w:jc w:val="left"/>
      </w:pPr>
      <w:r>
        <w:t>Die Aufzeichnung erfolgte dauerhaft und anlassunabhängig. Herr Wysocki gab an, die Kamera laufe bei jeder Fahrt mit; er habe die Datei nach dem Unfall aus der Schleife gesichert, bevor sie überschrieben worden wäre.</w:t>
      </w:r>
    </w:p>
    <w:p>
      <w:pPr>
        <w:jc w:val="left"/>
      </w:pPr>
      <w:r>
        <w:t>Eine Einwilligung der auf der Aufzeichnung erkennbaren Personen liegt nicht vor. Über die Verwertbarkeit ist im weiteren Verfahren zu entscheiden; die Datei wurde vorsorglich unverändert gesichert und zusätzlich in einer Fassung mit unkenntlich gemachten Gesichtern abgelegt.</w:t>
      </w:r>
    </w:p>
    <w:p>
      <w:pPr>
        <w:jc w:val="left"/>
      </w:pPr>
      <w:r>
        <w:t>Berlin, den 28.05.2026 — POK Matthias Ellinghaus, Verkehrsermittlungsdienst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Berlin</w:t>
    </w:r>
  </w:p>
  <w:p>
    <w:pPr>
      <w:jc w:val="left"/>
      <w:pBdr>
        <w:bottom w:val="single" w:sz="6" w:space="2" w:color="3B3F45"/>
      </w:pBdr>
    </w:pPr>
    <w:r>
      <w:rPr>
        <w:rFonts w:ascii="Times New Roman" w:hAnsi="Times New Roman"/>
        <w:color w:val="6B6B66"/>
        <w:sz w:val="16"/>
      </w:rPr>
      <w:t>304 Js 1288/26 · 304 Js 1288/26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