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Gundula Pfennig</w:t>
        <w:br/>
        <w:t>Kaufmännische Verwaltung</w:t>
        <w:br/>
        <w:t>gundula@zink-zunder.example</w:t>
      </w:r>
    </w:p>
    <w:p>
      <w:r>
        <w:t>An: Geschäftsführung und Beirat Zink und Zunder</w:t>
      </w:r>
    </w:p>
    <w:p>
      <w:r>
        <w:t>08.10.2026</w:t>
      </w:r>
    </w:p>
    <w:p>
      <w:pPr>
        <w:pStyle w:val="Title"/>
      </w:pPr>
      <w:r>
        <w:t>Fortschreibung der Bank und offenen Posten</w:t>
      </w:r>
    </w:p>
    <w:p>
      <w:r>
        <w:t>Ich habe den Septemberabschluss mit den Buchungen bis einschließlich 7. Oktober abgeglichen. Die Liste dient der Besprechung am 8. Oktober. Sie schreibt keine Bilanzwerte fort. Bei den strittigen Darlehen zeigt sie den Zahlungsstand, ohne über Genehmigungen oder Ansprüche zu entscheiden.</w:t>
      </w:r>
    </w:p>
    <w:p>
      <w:pPr>
        <w:pStyle w:val="Heading1"/>
      </w:pPr>
      <w:r>
        <w:t>1 Bankbewegungen</w:t>
      </w:r>
    </w:p>
    <w:p>
      <w:r>
        <w:t>Der Bankbestand zum 30. September beträgt 25.000 EUR. Am 1. Oktober gingen 3.200 EUR für die restliche Augustmiete ab. Am 2. Oktober wurden 12.000 EUR für den noch offenen Teil der Septemberlöhne ausgeführt. Am 5. Oktober zahlte Treppenhof 18.000 EUR auf den bestehenden Auftrag. Am 6. Oktober wurden 8.000 EUR an Stahlkontor Nord auf STA-0821 bezahlt. Daraus ergibt sich zum 7. Oktober ein Bankbestand von 19.800 EUR. Weitere Bewegungen enthält der abgerufene Zeitraum nicht.</w:t>
      </w:r>
    </w:p>
    <w:p>
      <w:r>
        <w:t>Die Zahlung von Treppenhof wurde mit der Offenen-Posten-Liste des Kunden abgeglichen. Sie ist kein neuer Auftrag und keine Kapitaleinlage. Die Zahlung an Stahlkontor hat die Rechnung über 12.000 EUR teilweise ausgeglichen; verbleibend sind 4.000 EUR. In der bisherigen Septemberliste bleiben die tatsächlich im September erfolgten Buchungen unverändert. Die Rückzahlung an Kunibert von 30.000 EUR wird im Oktober nicht noch einmal abgezogen.</w:t>
      </w:r>
    </w:p>
    <w:p>
      <w:pPr>
        <w:pStyle w:val="Heading1"/>
      </w:pPr>
      <w:r>
        <w:t>2 Offene Rechnungen aus der Septemberliste</w:t>
      </w:r>
    </w:p>
    <w:p>
      <w:r>
        <w:t>Von den am 30. September bereits fälligen 50.000 EUR sind 23.200 EUR bezahlt. Offen bleiben aus dieser Liste 26.800 EUR: 4.000 EUR Stahlkontor, 2.800 EUR Steuerbüro, 1.600 EUR Energienachzahlung und 18.400 EUR Beschläge. Für die Beschläge wird eine Mängelprüfung verlangt, aber bisher keine Stundung bestätigt. Die Maschinenrechnung über 25.000 EUR zum 15. Oktober kommt zusätzlich hinzu. Die so fortgeschriebene alte Liste enthält 51.800 EUR. Neue Oktoberrechnungen sind darin nicht vollständig enthalten.</w:t>
      </w:r>
    </w:p>
    <w:p>
      <w:pPr>
        <w:pStyle w:val="Heading1"/>
      </w:pPr>
      <w:r>
        <w:t>3 Darlehenskonten und unbestätigte Mittel</w:t>
      </w:r>
    </w:p>
    <w:p>
      <w:r>
        <w:t>Romy hat weiterhin 60.000 EUR Hauptforderung im Darlehenskonto. Bei Kunibert stehen nach der Zahlung vom 15. September rechnerisch 10.000 EUR. Eine weitere Tilgung und eine Zinszahlung 2026 sind nicht gebucht. Die feste Zinszahlung von 1.800 EUR an Romy im Dezember 2025 gehört nicht zur Tilgung. Kuniberts vorgeschlagene neue Einzahlung von 80.000 EUR ist bis zum 7. Oktober nicht eingegangen.</w:t>
      </w:r>
    </w:p>
    <w:p>
      <w:r>
        <w:t>Für Hannas Gesprächspreis gibt es weder einen Kaufvertrag noch eine Einzahlung. Auch eine Finanzierung möglicher Abfindungen hat sie nicht zugesagt. Bitte verwendet den Kontobestand und die alten offenen Posten nicht ohne Ergänzungen als vollständige Finanzplanung. Mir fehlen insbesondere die Oktoberfälligkeiten und eine bestätigte Auskunft zu verfügbaren zusätzlichen Mitteln.</w:t>
      </w:r>
    </w:p>
    <w:p>
      <w:r>
        <w:t>Gundula Pfennig</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Fortschreibung der Bank und offenen Posten</dc:title>
  <dc:subject/>
  <dc:creator>Gundula Pfennig</dc:creator>
  <cp:keywords/>
  <dc:description>generated by python-docx</dc:description>
  <cp:lastModifiedBy/>
  <cp:revision>1</cp:revision>
  <dcterms:created xsi:type="dcterms:W3CDTF">2026-10-08T12:00:00Z</dcterms:created>
  <dcterms:modified xsi:type="dcterms:W3CDTF">2026-10-08T12:00:00Z</dcterms:modified>
  <cp:category/>
</cp:coreProperties>
</file>