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Hanna Blech</w:t>
        <w:br/>
        <w:t>Blechwerk Beteiligungen</w:t>
        <w:br/>
        <w:t>hanna@blechwerk.example</w:t>
      </w:r>
    </w:p>
    <w:p>
      <w:r>
        <w:t>An: Romy Yilmaz, Kunibert Knopf und Thekla Spätzle</w:t>
      </w:r>
    </w:p>
    <w:p>
      <w:r>
        <w:t>06.10.2026</w:t>
      </w:r>
    </w:p>
    <w:p>
      <w:pPr>
        <w:pStyle w:val="Title"/>
      </w:pPr>
      <w:r>
        <w:t>Notiz zum Erwerbsgespräch am 6 Oktober</w:t>
      </w:r>
    </w:p>
    <w:p>
      <w:r>
        <w:t>Guten Tag zusammen,</w:t>
      </w:r>
    </w:p>
    <w:p>
      <w:r>
        <w:t>ich fasse unser Gespräch vom heutigen Vormittag zusammen, damit meine Preisvorstellung nicht für andere Zwecke verwendet wird. Ich bleibe grundsätzlich an der Werkstatt interessiert. Ein verbindliches Kaufangebot mache ich weiterhin nicht. Die offenen Streitigkeiten über Anteile und Geschäftsführung erschweren die Prüfung erheblich.</w:t>
      </w:r>
    </w:p>
    <w:p>
      <w:pPr>
        <w:pStyle w:val="Heading1"/>
      </w:pPr>
      <w:r>
        <w:t>1 Preis und Darlehen</w:t>
      </w:r>
    </w:p>
    <w:p>
      <w:r>
        <w:t>Die 150.000 EUR aus meinem Schreiben vom 3. September waren ein Ausgangspunkt für sämtliche Geschäftsanteile. Sie sind kein festgestellter Unternehmenswert und keine zugesagte Abfindungsfinanzierung. Die Darlehen müssen daneben behandelt werden. Ich habe im Gespräch verstanden, dass Romy weiterhin 60.000 EUR beansprucht und bei Kunibert nach einer Teilrückzahlung rechnerisch 10.000 EUR im Konto stehen. Die Wirksamkeit und Fälligkeit dieser Positionen habe ich nicht geprüft.</w:t>
      </w:r>
    </w:p>
    <w:p>
      <w:r>
        <w:t>Romy verlangt mindestens 60.000 EUR für ihren Anteil zusätzlich zur gesonderten Behandlung ihres Darlehens. Kunibert möchte seinen verbleibenden Darlehensbetrag beim Vollzug erhalten. Thekla hat noch keine eigene Preisforderung genannt. Diese Wünsche ergeben nicht automatisch einen gemeinsamen Gesamtkaufpreis. Ich habe keine persönliche Schuldübernahme erklärt und werde vor einem Vertrag kein Geld zur Finanzierung des Streits überweisen.</w:t>
      </w:r>
    </w:p>
    <w:p>
      <w:pPr>
        <w:pStyle w:val="Heading1"/>
      </w:pPr>
      <w:r>
        <w:t>2 Informationen für die Prüfung</w:t>
      </w:r>
    </w:p>
    <w:p>
      <w:r>
        <w:t>Ich benötige aktuelle offene Posten, den vollständigen Darlehensstand, eine belastbare Auftragsübersicht und die Unterlagen zu den technischen Rechten. Die Augustbilanznotiz allein reicht mir nicht. Über die Verwendung der Kundendatei Altbogen möchte ich nicht anhand eines Dateinamens entscheiden. Bitte klären Sie außerdem, welche Personen bei einem möglichen Verkauf welche Erklärungen abgeben könnten.</w:t>
      </w:r>
    </w:p>
    <w:p>
      <w:pPr>
        <w:pStyle w:val="Heading1"/>
      </w:pPr>
      <w:r>
        <w:t>3 Fortsetzung</w:t>
      </w:r>
    </w:p>
    <w:p>
      <w:r>
        <w:t>Ich kann am 20. Oktober nochmals sprechen, wenn bis dahin eine geordnete Unterlage vorliegt. Exklusivität ist weiterhin nicht vereinbart. Für einen Kauf aller Anteile brauche ich einen abgestimmten Vertrag mit allen erforderlichen Beteiligten. Die in der Versammlung im September erklärte Verkaufszustimmung oder deren Ablehnung ersetzt aus meiner Sicht kein von mir und den Verkäufern unterschriebenes Geschäft; ich habe an dieser Versammlung nicht teilgenommen.</w:t>
      </w:r>
    </w:p>
    <w:p>
      <w:r>
        <w:t>Bitte schicken Sie mir keine Personalakten oder privaten Bankunterlagen, die für die Prüfung nicht benötigt werden. Betriebswirtschaftliche Unterlagen sollen über einen gemeinsam benannten Ansprechpartner kommen. Ich möchte keine abweichenden Zahlenstände aus drei privaten Postfächern zusammenbauen müssen.</w:t>
      </w:r>
    </w:p>
    <w:p>
      <w:r>
        <w:t>Mit freundlichen Grüßen</w:t>
        <w:br/>
        <w:t>Hanna Blech</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Notiz zum Erwerbsgespräch am 6 Oktober</dc:title>
  <dc:subject/>
  <dc:creator>Hanna Blech</dc:creator>
  <cp:keywords/>
  <dc:description>generated by python-docx</dc:description>
  <cp:lastModifiedBy/>
  <cp:revision>1</cp:revision>
  <dcterms:created xsi:type="dcterms:W3CDTF">2026-10-08T12:00:00Z</dcterms:created>
  <dcterms:modified xsi:type="dcterms:W3CDTF">2026-10-08T12:00:00Z</dcterms:modified>
  <cp:category/>
</cp:coreProperties>
</file>