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Planungsstand, Schnittstellen und offene Baugrundfrage</w:t>
      </w:r>
    </w:p>
    <w:p>
      <w:r>
        <w:t>06.10.2026</w:t>
      </w:r>
    </w:p>
    <w:p>
      <w:r>
        <w:t>Faltenwurf Planen GmbH · Projekt LBM-2026-01</w:t>
      </w:r>
    </w:p>
    <w:p>
      <w:pPr>
        <w:pStyle w:val="Heading1"/>
      </w:pPr>
      <w:r>
        <w:t>1. Technischer Arbeitsstand</w:t>
      </w:r>
    </w:p>
    <w:p>
      <w:r>
        <w:t>Die Vorbemessung des Tragwerks liegt in Revision P03 vor. Die Positions- und Mengenliste vom 5. Oktober nennt die Mengen für den Rohbau. Ausführungsreife Details der Gründung werden erst nach ergänzender Baugrunderkundung freigegeben. Ein Bodenaustausch ist in der aktuellen Mengenliste nicht enthalten. Für den östlichen Baugrubenrand fehlt ein ergänzender Aufschluss. Dort wurde bei der Besichtigung dunkle Auffüllung angetroffen; eine abfallrechtliche Einstufung liegt noch nicht vor. Niemand hat eine belastbare pauschale Entsorgungsklasse für das gesamte Grundstück festgestellt.</w:t>
      </w:r>
    </w:p>
    <w:p>
      <w:r>
        <w:t>Die Zufahrt kreuzt werktags zwischen 06:30 und 08:00 Uhr den Lieferverkehr der Bestandsapotheke. Rettungswege müssen ohne Voranmeldung jederzeit frei bleiben. Staubschutz, Erschütterungsmessung und die Abschottung zum laufenden Klinikbetrieb sind mit der Krankenhaushygiene abzustimmen. Die Klinik hat eine lärmempfindliche Diagnostik von 09:00 bis 12:00 Uhr gemeldet. Noch fehlt die Bestätigung, welche Geräte tatsächlich vibrationskritisch sind.</w:t>
      </w:r>
    </w:p>
    <w:p>
      <w:pPr>
        <w:pStyle w:val="Heading1"/>
      </w:pPr>
      <w:r>
        <w:t>2. Dokumentenregister</w:t>
      </w:r>
    </w:p>
    <w:p>
      <w:r>
        <w:t>Plan P03 beschreibt die Bauteilgeometrie; die vorliegende Textfassung enthält keine prüffähige Statik. Das Brandschutzkonzept BS02 ist mit dem Tragwerksentwurf abzugleichen. Der Baugrundbericht BG01 enthält nur die vorhandenen Aufschlüsse. Die Vergabestelle hat am 6. Oktober um eine Ergänzung der fehlenden Erkundung vor Veröffentlichung gebeten. Eine Mengenliste ohne zugehörige Bauteil- und Messregeln ist nicht freigabefähig. Ich werde die offenen Punkte bis 9. Oktober schriftlich zurückmelden.</w:t>
      </w:r>
    </w:p>
    <w:p>
      <w:pPr>
        <w:pStyle w:val="Heading1"/>
      </w:pPr>
      <w:r>
        <w:t>3. Schnittstellen im Leistungsverzeichnis</w:t>
      </w:r>
    </w:p>
    <w:p>
      <w:r>
        <w:t>Die Position Leitungsdurchführungen umfasst ausschließlich die Rohbauöffnungen der abgestimmten Durchbruchsliste. Leitungsinstallation, Abschottung nach Installation und technische Inbetriebnahme werden anderen Losen zugeordnet. Vorhaltekosten und Gerüstleistungen müssen hinsichtlich Umfang und Zeitraum eindeutig beschrieben werden. Eine Klausel „sämtliche sonstigen Leistungen sind enthalten“ ist in dieser Fassung nicht vorgesehen. Die Bauteilqualitäten sind in einem eigenen Material- und Bauteilblatt festzulegen; Kurztexte der Mengentabelle ersetzen dieses Blatt nicht.</w:t>
      </w:r>
    </w:p>
    <w:p>
      <w:r>
        <w:t>Benedikt Faltenwurf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Planungsstand, Schnittstellen und offene Baugrundfrage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