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Teilnahmebedingungen und vorgesehene Wertungsmethode</w:t>
      </w:r>
    </w:p>
    <w:p>
      <w:r>
        <w:t>06.10.2026</w:t>
      </w:r>
    </w:p>
    <w:p>
      <w:r>
        <w:t>Klinikum Lindenbogen Münster gGmbH · Vergabeverfahren LBM-2026-01 · Entwurf vom 6. Oktober 2026</w:t>
      </w:r>
    </w:p>
    <w:p>
      <w:pPr>
        <w:pStyle w:val="Heading1"/>
      </w:pPr>
      <w:r>
        <w:t>1. Verfahren, Leistung und Kommunikation</w:t>
      </w:r>
    </w:p>
    <w:p>
      <w:r>
        <w:t>Vorgesehen ist ein offenes Verfahren für Los 01 – Baugrube, Gründung und Rohbau. Angebote werden ausschließlich über den in der Bekanntmachung zu benennenden elektronischen Zugang abgegeben. Die folgenden Daten sind Vorbereitungsdaten: Versand der Bekanntmachung 12.10.2026; ursprünglicher Angebotsschluss 16.11.2026, 10:00 Uhr; Bindefrist zunächst bis 31. Januar 2027. Eine gewöhnliche E-Mail ersetzt die elektronische Angebotsabgabe nicht. Rückfragen sind über den Kommunikationsbereich einzureichen und werden bei allgemeiner Bedeutung allen Interessenten gleichzeitig zugänglich gemacht.</w:t>
      </w:r>
    </w:p>
    <w:p>
      <w:pPr>
        <w:pStyle w:val="Heading1"/>
      </w:pPr>
      <w:r>
        <w:t>2. Eignung und Kapazitäten</w:t>
      </w:r>
    </w:p>
    <w:p>
      <w:r>
        <w:t>Der Bieter erklärt seine berufliche Befähigung, das Nichtvorliegen einschlägiger Ausschlussgründe und die Verfügbarkeit der für das Los benötigten personellen und technischen Mittel. Als Erfahrung werden zwei vergleichbare Rohbauleistungen der letzten fünf Jahre mit Auftraggeberkontakt, Leistungszeit, eigenem Anteil und Art des Bauwerks verlangt. Identische Gebäude oder Referenzen ausschließlich aus Münster werden nicht verlangt. Der Auftraggeber berücksichtigt eine nachvollziehbare Vergleichbarkeit auch bei anders bezeichneten Gebäuden. Weitergehende Nachweise werden von aussichtsreichen Bietern nach Maßgabe der geltenden Regeln angefordert. Nachunternehmerleistung, Eignungsleihe und Bietergemeinschaft sind getrennt offenzulegen.</w:t>
      </w:r>
    </w:p>
    <w:p>
      <w:r>
        <w:t>Für die Klinik wird keine zusätzliche örtliche oder krankenhausspezifische Unternehmensreferenz als Mindestanforderung festgelegt. Die Qualität des angebotenen Betriebsschutzes wird ausschließlich nach den angekündigten Zuschlagskriterien bewertet.</w:t>
      </w:r>
    </w:p>
    <w:p>
      <w:r>
        <w:t>Bei Eignungsleihe sind Unternehmen, konkrete Kapazität und tatsächliche Leistungserbringung zu benennen. Die verbindliche Verfügbarkeit muss nachgewiesen werden. Eine erst nach Angebotsschluss neu gewonnene Kapazität ist nicht schon deshalb zulässig, weil der Auftraggeber eine Unterlage nachfordert. Eine bereits erklärte Kapazität und der nachgereichte Beleg ihres Bestands werden getrennt beurteilt.</w:t>
      </w:r>
    </w:p>
    <w:p>
      <w:pPr>
        <w:pStyle w:val="Heading1"/>
      </w:pPr>
      <w:r>
        <w:t>3. Zuschlagskriterien</w:t>
      </w:r>
    </w:p>
    <w:p>
      <w:r>
        <w:t>Der Angebotspreis erhält höchstens 80 Punkte. Die Formel lautet niedrigster wertbarer Angebotspreis geteilt durch den jeweiligen Angebotspreis, multipliziert mit 80. Das konkrete Baustellen- und Betriebsschutzkonzept erhält höchstens 20 Punkte. Bewertet werden die auf den vorgegebenen Klinikbetrieb bezogene Trennung der Wege, Staubschutzorganisation und Störfallkommunikation. Jede Dimension erhält null bis fünf Punkte; die vierte Dimension ist der konkrete Ablauf zur rechtzeitigen Freigabe lärmintensiver Arbeiten. Allgemeine Werbeaussagen ersetzen kein Konzept. Die Detailmaßstäbe sind vor Veröffentlichung zu vervollständigen; regionale Unternehmenssitze und allgemeine Erfahrung am Ort sind keine Zuschlagskriterien.</w:t>
      </w:r>
    </w:p>
    <w:p>
      <w:pPr>
        <w:pStyle w:val="Heading1"/>
      </w:pPr>
      <w:r>
        <w:t>4. Angebotsinhalt</w:t>
      </w:r>
    </w:p>
    <w:p>
      <w:r>
        <w:t>Das Angebot besteht aus dem ausgefüllten Preisblatt, dem Angebotsschreiben, den geforderten Erklärungen und dem Betriebsschutzkonzept. Nebenangebote sind in dieser Ausschreibung nicht zugelassen. Änderungen der vorgegebenen Vertragsbedingungen sind offenzulegen und können zum Ausschluss führen. Allgemeine Geschäftsbedingungen des Bieters werden nicht als stillschweigende Änderung akzeptiert. Eine Nachforderung fehlender Unterlagen bleibt nach der geltenden VOB/A-EU zu prüfen; die Vergabestelle entscheidet hier nicht vorab, jede denkbare Lücke nachfordern zu dürfen.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Teilnahmebedingungen und vorgesehene Wertungsmethode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