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Bauvertrag – Rohbaulos, Entwurf ohne Zuschlag</w:t>
      </w:r>
    </w:p>
    <w:p>
      <w:r>
        <w:t>06.10.2026</w:t>
      </w:r>
    </w:p>
    <w:p>
      <w:r>
        <w:t>Klinikum Lindenbogen Münster gGmbH · Vertragsentwurf LBM-2026-01</w:t>
      </w:r>
    </w:p>
    <w:p>
      <w:pPr>
        <w:pStyle w:val="Heading1"/>
      </w:pPr>
      <w:r>
        <w:t>1. Gegenstand und Vertragsgrundlagen</w:t>
      </w:r>
    </w:p>
    <w:p>
      <w:r>
        <w:t>Der Auftraggeber beauftragt den im späteren Zuschlagsschreiben bezeichneten Auftragnehmer mit Los 01 – Baugrube, Gründung und Rohbau. Dieser Entwurf enthält noch keine Annahme eines Angebots. Bestandteil des späteren Vertrags werden das ausdrücklich angenommene Angebot, das abschließende Leistungsverzeichnis einschließlich der bekannt gegebenen Berichtigungen, die freigegebenen Vertragspläne und die vollständig zur Verfügung gestellte VOB/B in der vertraglich bezeichneten Fassung. Die konkrete Rangfolge wird bei widersprechenden Leistungsangaben überprüft; eine technisch unklare Leistung wird nicht durch eine pauschale Vollständigkeitsklausel nachträglich erweitert.</w:t>
      </w:r>
    </w:p>
    <w:p>
      <w:pPr>
        <w:pStyle w:val="Heading1"/>
      </w:pPr>
      <w:r>
        <w:t>2. Vergütung und Ausführung</w:t>
      </w:r>
    </w:p>
    <w:p>
      <w:r>
        <w:t>Die Vergütung beruht auf den angebotenen Einheitspreisen und den nachgewiesenen tatsächlich ausgeführten Mengen. Vereinbarte Pauschalpositionen bleiben nach ihrem ausdrücklich beschriebenen Umfang abzurechnen. Der voraussichtliche Beginn ist der 01.02.2027, der vorgesehene Fertigstellungstermin der 29.10.2027. Voraussetzung ist die rechtzeitige Übergabe des Baufelds und der freigegebenen Ausführungsunterlagen. Der Auftragnehmer legt binnen zehn Werktagen nach Zuschlag einen abgestimmten Bauzeitenplan vor. Widersprüche zwischen Terminplan und Vertragsbedingungen werden vor Ausführungsbeginn schriftlich geklärt.</w:t>
      </w:r>
    </w:p>
    <w:p>
      <w:pPr>
        <w:pStyle w:val="Heading1"/>
      </w:pPr>
      <w:r>
        <w:t>3. Anordnungen und zusätzliche Vergütung</w:t>
      </w:r>
    </w:p>
    <w:p>
      <w:r>
        <w:t>Anordnungen zur Änderung des vertraglichen Leistungsumfangs darf für den Auftraggeber nur die Geschäftsführung oder eine ausdrücklich benannte bevollmächtigte Person treffen. Das Planungsbüro darf technische Erläuterungen geben, besitzt aber keine allgemeine Abschlussvollmacht für vergütungspflichtige Nachträge. Der Auftragnehmer zeigt Leistungsänderungen und ihre absehbaren Preis- und Terminfolgen unverzüglich nachvollziehbar an. Die vergütungsrechtliche Beurteilung folgt der tatsächlich anwendbaren Vertragsgrundlage. Ein technischer Prüfvermerk ersetzt keine Preisvereinbarung. Gesetzliche Rechte werden durch das Fehlen einer vorab abgeschlossenen Preisvereinbarung nicht pauschal ausgeschlossen.</w:t>
      </w:r>
    </w:p>
    <w:p>
      <w:pPr>
        <w:pStyle w:val="Heading1"/>
      </w:pPr>
      <w:r>
        <w:t>4. Dokumentation, Abrechnung und Abnahme</w:t>
      </w:r>
    </w:p>
    <w:p>
      <w:r>
        <w:t>Aufmaße werden bauteilbezogen mit Planrevision, Datum und Beteiligten festgehalten. Die Unterschrift unter einem Aufmaß bestätigt den dokumentierten Messvorgang und enthält ohne zusätzliche Erklärung kein Anerkenntnis der Anspruchsgrundlage oder des Preises. Abschläge beziehen sich auf nachgewiesene vertragsgemäße Leistungen. Die Schlussrechnung weist den ursprünglichen Vertragsumfang, vereinbarte Änderungen und streitige Positionen getrennt aus. Der Auftraggeber prüft die Rechnung innerhalb der maßgeblichen Frist und bezeichnet Einwendungen konkret. Eine Zahlung ohne nähere Erklärung soll nicht als pauschales Anerkenntnis aller weiteren Forderungen verstanden werden.</w:t>
      </w:r>
    </w:p>
    <w:p>
      <w:r>
        <w:t>Die Abnahme erfolgt nach gemeinsamer Begehung mit Protokoll. Bekannte Mängel und erforderliche Vorbehalte werden bezeichnet; Schlusszahlung und förmliche Abnahme werden nicht gleichgesetzt. Eine Vertragsstrafe ist in dieser Entwurfsfassung nicht vereinbart. Sicherheiten und Einbehalte dürfen nicht ohne abschließend geprüfte Vereinbarung aus einer anderen Vorlage ergänzt werden.</w:t>
      </w:r>
    </w:p>
    <w:p>
      <w:pPr>
        <w:pStyle w:val="Heading1"/>
      </w:pPr>
      <w:r>
        <w:t>5. Öffentliche Auftragsänderung</w:t>
      </w:r>
    </w:p>
    <w:p>
      <w:r>
        <w:t>Der Auftraggeber prüft unabhängig von der zivilrechtlichen Vergütung, ob eine geplante Änderung nach Paragraf 132 GWB ohne neues Vergabeverfahren zulässig ist und ob eine Bekanntmachung erforderlich wird. Eine Preisvereinbarung bestätigt nicht automatisch die vergaberechtliche Zulässigkeit. Die Parteien dokumentieren den geänderten Gegenstand, seinen Wert und die konkret tragende Änderungsgrundlage.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 Rohbaulos, Entwurf ohne Zuschlag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