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Kanzleiaktennotiz – Abhilfe, Offenlegung und Rücknahme</w:t>
      </w:r>
    </w:p>
    <w:p>
      <w:r>
        <w:t>18.12.2026</w:t>
      </w:r>
    </w:p>
    <w:p>
      <w:r>
        <w:t>Rechtsanwältin Naila Humpelstiel · Mandat Walburga Stein &amp; Sohn GmbH · LBM-2026-01</w:t>
      </w:r>
    </w:p>
    <w:p>
      <w:pPr>
        <w:pStyle w:val="Heading1"/>
      </w:pPr>
      <w:r>
        <w:t>1. Verfahrensmitteilungen</w:t>
      </w:r>
    </w:p>
    <w:p>
      <w:r>
        <w:t>Nach unserem Kanzleiverlauf wurde der Antrag am 07.12.2026 übermittelt. Die Information der Antragsgegnerin durch die Vergabekammer wurde am 08.12.2026 bestätigt. Dieser Vermerk dokumentiert den Arbeitsablauf der Kanzlei; er ist weder ein gerichtlicher Beschluss noch ein amtlicher Eingangsbeleg. Die Originalübermittlungsnachweise sind in der elektronischen Ausgangsakte zu prüfen. Ein Zuschlag wurde uns bis zu diesem Zeitpunkt nicht gemeldet.</w:t>
      </w:r>
    </w:p>
    <w:p>
      <w:pPr>
        <w:pStyle w:val="Heading1"/>
      </w:pPr>
      <w:r>
        <w:t>2. Erklärung der Vergabestelle</w:t>
      </w:r>
    </w:p>
    <w:p>
      <w:r>
        <w:t>Die Vergabestelle sagte die Wiederholung der Qualitätswertung anhand der ursprünglich veröffentlichten Maßstäbe ohne Regionalpunkte zu. Die neue Bewertungsrunde soll durch andere fachkundige Mitarbeiter dokumentiert werden. Eine gesonderte Aufschlüsselung der Betriebsschutzbewertung wurde in nicht vertraulicher Form angekündigt. Die Mandantin erkannte an, dass eine Korrektur nicht automatisch zu ihrem Zuschlag führt.</w:t>
      </w:r>
    </w:p>
    <w:p>
      <w:pPr>
        <w:pStyle w:val="Heading1"/>
      </w:pPr>
      <w:r>
        <w:t>3. Auftrag der Mandantin</w:t>
      </w:r>
    </w:p>
    <w:p>
      <w:r>
        <w:t>Die Mandantin stimmte am 18.12.2026 nach Besprechung der dokumentierten Abhilfe einer Rücknahme des laufenden Nachprüfungsantrags zu. Damit wird keine bestimmte Kostenentscheidung der Vergabekammer behauptet. Gebühren, notwendige Aufwendungen und die Erledigungs- oder Rücknahmefolgen sind anhand der tatsächlichen Verfahrensentscheidung abzurechnen. Es bleibt bei der Forderung, vor einem späteren Zuschlag eine neue, zutreffend begründete Vorabinformation zu erhalten. Etwaige neue selbstständige Verstöße sind gesondert nach Kenntnis und Fristauslöser zu prüfen.</w:t>
      </w:r>
    </w:p>
    <w:p>
      <w:r>
        <w:t>Die Akte enthält keine fingierte gerichtliche Entscheidung. Für eine erneute Bearbeitung im früheren Stadium darf der spätere Ausgang nicht als damals bereits bekannte Tatsache verwendet werden.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Kanzleiaktennotiz – Abhilfe, Offenlegung und Rücknahme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