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Rohbauabnahme – Feststellungen und Vorbehalte</w:t>
      </w:r>
    </w:p>
    <w:p>
      <w:r>
        <w:t>29.10.2027</w:t>
      </w:r>
    </w:p>
    <w:p>
      <w:r>
        <w:t>Klinikum Lindenbogen Münster gGmbH und Anselm Klinker Bau GmbH · LBM-2026-01</w:t>
      </w:r>
    </w:p>
    <w:p>
      <w:pPr>
        <w:pStyle w:val="Heading1"/>
      </w:pPr>
      <w:r>
        <w:t>1. Begehung und Erklärung</w:t>
      </w:r>
    </w:p>
    <w:p>
      <w:r>
        <w:t>Die Beteiligten begehen das Rohbaulos am 29.10.2027. Für den Auftraggeber nimmt Dr. Ottilie Knorren teil; die technische Begleitung übernimmt Benedikt Faltenwurf. Für den Auftragnehmer nimmt Anselm Klinker teil. Der Auftraggeber erklärt die Abnahme der besichtigten Rohbauleistung mit den nachfolgenden ausdrücklich festgehaltenen Mängeln. Eine Abnahme der getrennten Ausbau- und Technikgewerke ist damit nicht verbunden.</w:t>
      </w:r>
    </w:p>
    <w:p>
      <w:pPr>
        <w:pStyle w:val="Heading1"/>
      </w:pPr>
      <w:r>
        <w:t>2. Feststellungen</w:t>
      </w:r>
    </w:p>
    <w:p>
      <w:r>
        <w:t>An der Türöffnung im Treppenhaus ist die Sollbreite anhand des freigegebenen Detailplans erneut zu kontrollieren. Zwei dokumentierte Durchführungen fehlen noch in der Revisionsliste. Der Auftragnehmer wird die Unterlagen bis zum 12. November vervollständigen und die geometrische Abweichung bis dahin mit einem prüffähigen Vorschlag bewerten. Die Parteien halten fest, dass die Unvollständigkeit der Revisionsliste keinen Verzicht auf die vereinbarte Dokumentation bewirkt. Die Rechte wegen der bekannten Mängel werden ausdrücklich vorbehalten.</w:t>
      </w:r>
    </w:p>
    <w:p>
      <w:pPr>
        <w:pStyle w:val="Heading1"/>
      </w:pPr>
      <w:r>
        <w:t>3. Offene Vergütung</w:t>
      </w:r>
    </w:p>
    <w:p>
      <w:r>
        <w:t>Der Nachtrag N01 und die behaupteten Bauzeitfolgen bleiben hinsichtlich der noch nicht vereinbarten Positionen streitig. Die Abnahme enthält kein Anerkenntnis der geltend gemachten Zuschlagssätze und keinen Verzicht des Auftragnehmers auf offene Ansprüche. Eine Vertragsstrafe ist im zugrunde gelegten Vertrag nicht vereinbart. Der Schlussrechnungsstand, das Ergebnis der Änderungsprüfung und die Verjährungsfristen sind jeweils gesondert festzustellen; aus diesem Protokoll wird kein pauschaler Schlussstrich unter sämtliche Ansprüche abgeleitet.</w:t>
      </w:r>
    </w:p>
    <w:p>
      <w:r>
        <w:t>Dr. Ottilie Knorren · Anselm Klinker · Benedikt Faltenwurf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Rohbauabnahme – Feststellungen und Vorbehalte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