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Projektauftrag und Finanzierung</w:t>
      </w:r>
    </w:p>
    <w:p>
      <w:r>
        <w:t>28.09.2026</w:t>
      </w:r>
    </w:p>
    <w:p>
      <w:r>
        <w:t>Soziales Wohnen Bielefeld gGmbH · Quittenhof 6, 33602 Bielefeld</w:t>
      </w:r>
    </w:p>
    <w:p>
      <w:pPr>
        <w:pStyle w:val="Heading1"/>
      </w:pPr>
      <w:r>
        <w:t>1. Beschluss vom 28. September 2026</w:t>
      </w:r>
    </w:p>
    <w:p>
      <w:r>
        <w:t>Die Geschäftsführung beauftragt die Vergabestelle mit der Vorbereitung des Vorhabens „Soziales Wohnen Bielefeld – 16 Wohnungen am Quittenhof“. Der Neubau umfasst 1900 Quadratmeter Bruttogrundfläche. Vorgesehen sind 16 dauerhaft preisgebundene Mietwohnungen mit gemeinsamem Treppenhaus, Aufzug und Fahrradabstellraum. Die Vermietung erfolgt nach einem kommunalen Belegungskonzept. Ein Verkauf von Eigentumswohnungen ist nicht beschlossen.</w:t>
      </w:r>
    </w:p>
    <w:p>
      <w:r>
        <w:t>Der vollständige Bauauftrag wird mit 8.400.000,00 EUR ohne Umsatzsteuer geschätzt. Die Kostenermittlung schließt sämtliche funktional zusammengehörenden Baugewerke, die bereits festgelegten Bauabschnitte und vorhersehbare Optionen ein. Planungsleistungen und Grundstückserwerb sind gesondert ausgewiesen. Die Schätzung für Los 01 – Erdarbeiten und Rohbau beträgt 2.200.000,00 EUR netto. Sie ist eine interne Budgetgröße und wird nicht als Bieterpreis ausgegeben. Die Losbildung bleibt vor Veröffentlichung freizugeben.</w:t>
      </w:r>
    </w:p>
    <w:p>
      <w:pPr>
        <w:pStyle w:val="Heading1"/>
      </w:pPr>
      <w:r>
        <w:t>2. Gesellschaft und öffentlicher Zweck</w:t>
      </w:r>
    </w:p>
    <w:p>
      <w:r>
        <w:t>Die Stadt Bielefeld hält alle Geschäftsanteile, bestellt die Mehrheit des Aufsichtsrats und übt die gesellschaftsrechtliche Kontrolle aus. Der Gesellschaftsvertrag verpflichtet die Gesellschaft zur Bereitstellung bezahlbaren Wohnraums für Haushalte, die sich am örtlichen Wohnungsmarkt nicht angemessen versorgen können. Ausschüttungen an Gesellschafter sind ausgeschlossen. Ein kommunaler Betrauungsbeschluss und ein jährlicher Ausgleich nachgewiesener ungedeckter Gemeinwohlkosten liegen der Geschäftsführung vor. Der Ausgleich ersetzt keine freie Gewinnerzielungsgarantie für beliebige Projekte. Die Vergabestelle soll die Unterlagen zur Einordnung nach Paragraf 99 Nummer 2 GWB in die Vergabeakte nehmen; die Beteiligungsquote allein ist nicht als Begründung ausreichend.</w:t>
      </w:r>
    </w:p>
    <w:p>
      <w:pPr>
        <w:pStyle w:val="Heading1"/>
      </w:pPr>
      <w:r>
        <w:t>3. Auftrag und Zuständigkeit</w:t>
      </w:r>
    </w:p>
    <w:p>
      <w:r>
        <w:t>Milan Knödler führt das Verfahren. Friedemann Blechle koordiniert Planung, Mengen und technische Freigaben. Änderungen an Kosten oder Vertragsumfang werden nur durch Edeltraud Rumpel oder eine dokumentiert bevollmächtigte Vertretung erklärt. Das Planungsbüro hat keine Vollmacht, vergütungspflichtige Zusatzleistungen zu beauftragen. Die Veröffentlichung ist nach der Vergabereifeprüfung für den 19.10.2026 vorgesehen. Es gibt bisher weder eine Bekanntmachung noch einen Vertrag. Ein vorab versandter Arbeitsstand wird nicht rückwirkend zur veröffentlichten Fassung erklärt.</w:t>
      </w:r>
    </w:p>
    <w:p>
      <w:r>
        <w:t>Edeltraud Rumpel, Geschäftsführung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Projektauftrag und Finanzierung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