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Teilnahmebedingungen und vorgesehene Wertungsmethode</w:t>
      </w:r>
    </w:p>
    <w:p>
      <w:r>
        <w:t>06.10.2026</w:t>
      </w:r>
    </w:p>
    <w:p>
      <w:r>
        <w:t>Soziales Wohnen Bielefeld gGmbH · Vergabeverfahren SWB-QH-2026-02 · Entwurf vom 6. Oktober 2026</w:t>
      </w:r>
    </w:p>
    <w:p>
      <w:pPr>
        <w:pStyle w:val="Heading1"/>
      </w:pPr>
      <w:r>
        <w:t>1. Verfahren, Leistung und Kommunikation</w:t>
      </w:r>
    </w:p>
    <w:p>
      <w:r>
        <w:t>Vorgesehen ist ein offenes Verfahren für Los 01 – Erdarbeiten und Rohbau. Angebote werden ausschließlich über den in der Bekanntmachung zu benennenden elektronischen Zugang abgegeben. Die folgenden Daten sind Vorbereitungsdaten: Versand der Bekanntmachung 19.10.2026; ursprünglicher Angebotsschluss 23.11.2026, 10:00 Uhr; Bindefrist zunächst bis 31. Januar 2027. Eine gewöhnliche E-Mail ersetzt die elektronische Angebotsabgabe nicht. Rückfragen sind über den Kommunikationsbereich einzureichen und werden bei allgemeiner Bedeutung allen Interessenten gleichzeitig zugänglich gemacht.</w:t>
      </w:r>
    </w:p>
    <w:p>
      <w:pPr>
        <w:pStyle w:val="Heading1"/>
      </w:pPr>
      <w:r>
        <w:t>2. Eignung und Kapazitäten</w:t>
      </w:r>
    </w:p>
    <w:p>
      <w:r>
        <w:t>Der Bieter erklärt seine berufliche Befähigung, das Nichtvorliegen einschlägiger Ausschlussgründe und die Verfügbarkeit der für das Los benötigten personellen und technischen Mittel. Als Erfahrung werden zwei vergleichbare Rohbauleistungen der letzten fünf Jahre mit Auftraggeberkontakt, Leistungszeit, eigenem Anteil und Art des Bauwerks verlangt. Identische Gebäude oder Referenzen ausschließlich aus Bielefeld werden nicht verlangt. Der Auftraggeber berücksichtigt eine nachvollziehbare Vergleichbarkeit auch bei anders bezeichneten Gebäuden. Weitergehende Nachweise werden von aussichtsreichen Bietern nach Maßgabe der geltenden Regeln angefordert. Nachunternehmerleistung, Eignungsleihe und Bietergemeinschaft sind getrennt offenzulegen.</w:t>
      </w:r>
    </w:p>
    <w:p>
      <w:r>
        <w:t>Mindestens eines der beiden Referenzprojekte muss die vom Bieter selbst oder von einem hierfür benannten Eignungsleiher ausgeführte Herstellung vergleichbarer bewehrter Brandwände umfassen. Diese Erfahrung ist wegen der im Rohbaulos enthaltenen tragenden Brandwand mit ihren Bewehrungs- und Anschlussdetails erforderlich. Vergleichbarkeit richtet sich nach der ausgeführten Konstruktion und den maßgeblichen Anschlussarbeiten, nicht nach einem identischen Gebäudetyp, Auftraggeber oder Standort. Wird hierfür fremde Erfahrung genutzt, muss das benannte Unternehmen die betreffenden Brandwandarbeiten tatsächlich ausführen.</w:t>
      </w:r>
    </w:p>
    <w:p>
      <w:r>
        <w:t>Bei Eignungsleihe sind Unternehmen, konkrete Kapazität und tatsächliche Leistungserbringung zu benennen. Die verbindliche Verfügbarkeit muss nachgewiesen werden. Eine erst nach Angebotsschluss neu gewonnene Kapazität ist nicht schon deshalb zulässig, weil der Auftraggeber eine Unterlage nachfordert. Eine bereits erklärte Kapazität und der nachgereichte Beleg ihres Bestands werden getrennt beurteilt.</w:t>
      </w:r>
    </w:p>
    <w:p>
      <w:pPr>
        <w:pStyle w:val="Heading1"/>
      </w:pPr>
      <w:r>
        <w:t>3. Zuschlagskriterien</w:t>
      </w:r>
    </w:p>
    <w:p>
      <w:r>
        <w:t>Der Zuschlag wird auf das wirtschaftlichste wertbare Angebot mit dem niedrigsten Gesamtpreis erteilt. Ein Preisvergleich findet erst auf unveränderter Leistungsbasis statt. Eignungsnachweise werden nicht zusätzlich bepunktet. Ein geringer Preis allein ersetzt weder die Eignung noch die erforderliche Aufklärung auffälliger Preisansätze.</w:t>
      </w:r>
    </w:p>
    <w:p>
      <w:pPr>
        <w:pStyle w:val="Heading1"/>
      </w:pPr>
      <w:r>
        <w:t>4. Angebotsinhalt</w:t>
      </w:r>
    </w:p>
    <w:p>
      <w:r>
        <w:t>Das Angebot besteht aus dem ausgefüllten Preisblatt, dem Angebotsschreiben, den geforderten Erklärungen und der Übersicht der eingesetzten Unternehmen. Nebenangebote sind in dieser Ausschreibung nicht zugelassen. Änderungen der vorgegebenen Vertragsbedingungen sind offenzulegen und können zum Ausschluss führen. Allgemeine Geschäftsbedingungen des Bieters werden nicht als stillschweigende Änderung akzeptiert. Eine Nachforderung fehlender Unterlagen bleibt nach der geltenden VOB/A-EU zu prüfen; die Vergabestelle entscheidet hier nicht vorab, jede denkbare Lücke nachfordern zu dürfen.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Teilnahmebedingungen und vorgesehene Wertungsmethode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