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Geschäftsführungsnotiz zur Angebotsfreigabe</w:t>
      </w:r>
    </w:p>
    <w:p>
      <w:r>
        <w:t>18.11.2026</w:t>
      </w:r>
    </w:p>
    <w:p>
      <w:r>
        <w:t>Kunigunde Mörtelbau GmbH · Geschäftsführung Kunigunde Mörtel</w:t>
      </w:r>
    </w:p>
    <w:p>
      <w:pPr>
        <w:pStyle w:val="Heading1"/>
      </w:pPr>
      <w:r>
        <w:t>1. Kapazität und Kostenbasis</w:t>
      </w:r>
    </w:p>
    <w:p>
      <w:r>
        <w:t>Wir wollen Los 01 – Erdarbeiten und Rohbau anbieten. Das Team kann ab 08.02.2027 eingesetzt werden, sofern das noch laufende Hallenprojekt planmäßig abschließt. Der Polier hat bislang nur einen Wochenüberblick geschickt; eine schriftliche Personaldisposition für die ersten acht Wochen fehlt noch. Die Preisansätze beruhen auf den angefragten Lieferpreisen und den kalkulierten Stunden. Das interne Kalkulationsblatt wird nicht als Bestandteil unseres Angebots eingereicht. Die Verhandlungsuntergrenze bleibt ebenfalls intern.</w:t>
      </w:r>
    </w:p>
    <w:p>
      <w:pPr>
        <w:pStyle w:val="Heading1"/>
      </w:pPr>
      <w:r>
        <w:t>2. Freigabefragen</w:t>
      </w:r>
    </w:p>
    <w:p>
      <w:r>
        <w:t>Ich gebe ein Angebot nur auf Grundlage der veröffentlichten Berichtigung 01 frei. Die Mehrkosten eines vom Auftraggeber später geänderten Bauwerks werden nicht vorsorglich als unbestimmter Risikozuschlag in jede Position aufgenommen. Wir müssen aber die eindeutig beschriebenen Schutz-, Koordinations- und Vorhalteleistungen vollständig kalkulieren. Die Brandwandreferenz wird durch Knuff bereitgestellt. Vor Abgabe ist zu prüfen, ob dessen Verpflichtung die konkrete Leistung und das tatsächlich eingesetzte Personal umfasst. Eine bloße Liste befreundeter Firmen reicht nicht.</w:t>
      </w:r>
    </w:p>
    <w:p>
      <w:pPr>
        <w:pStyle w:val="Heading1"/>
      </w:pPr>
      <w:r>
        <w:t>3. Abgabe und Vertretung</w:t>
      </w:r>
    </w:p>
    <w:p>
      <w:r>
        <w:t>Das Angebot darf erst nach meinem Abgleich von Preisblatt, Nachunternehmerangaben und Terminbindung hochgeladen werden. Es ist mit der vorgesehenen Vertretungsangabe abzugeben. Eine abweichende Vertragsfassung mit unseren allgemeinen Einkaufsbedingungen wird nicht beigefügt. Der Sachbearbeiter speichert die Eingangsbestätigung und prüft, ob die vollständige letzte Fassung tatsächlich vor 30.11.2026 um 10:00 Uhr eingegangen ist. Ein erfolgreicher Dateiupload allein beweist noch nicht die fristgerechte endgültige Abgabe.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Geschäftsführungsnotiz zur Angebotsfreigabe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