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Nachprüfungsantrag – Arbeitsentwurf der Bevollmächtigten</w:t>
      </w:r>
    </w:p>
    <w:p>
      <w:r>
        <w:t>14.12.2026</w:t>
      </w:r>
    </w:p>
    <w:p>
      <w:r>
        <w:t>An die Vergabekammer Westfalen bei der Bezirksregierung Münster</w:t>
      </w:r>
    </w:p>
    <w:p>
      <w:r>
        <w:t>Ferdi Ziegelwerk Bau GmbH, vertreten durch die Geschäftsführung Ferdinand Ziegelwerk, Antragstellerin,</w:t>
        <w:br/>
        <w:t>gegen Soziales Wohnen Bielefeld gGmbH, Quittenhof 6, 33602 Bielefeld, vertreten durch Edeltraud Rumpel, Antragsgegnerin.</w:t>
      </w:r>
    </w:p>
    <w:p>
      <w:r>
        <w:t>Verfahren SWB-QH-2026-02 · Los 01 – Erdarbeiten und Rohbau · Bearbeitungsstand 14.12.2026</w:t>
      </w:r>
    </w:p>
    <w:p>
      <w:pPr>
        <w:pStyle w:val="Heading1"/>
      </w:pPr>
      <w:r>
        <w:t>1. Anträge</w:t>
      </w:r>
    </w:p>
    <w:p>
      <w:r>
        <w:t>Die Antragstellerin beantragt, der Antragsgegnerin die Zuschlagserteilung auf der Grundlage der beanstandeten Wertung zu untersagen und sie zu verpflichten, die Prüfung und Wertung unter Beachtung der Rechtsauffassung der Vergabekammer zu wiederholen. Sie beantragt ferner die Einsicht in die zur Wahrnehmung ihrer Rechte erforderlichen Teile der Vergabeakte unter Schutz berechtigter Geschäftsgeheimnisse sowie die Auferlegung der Verfahrenskosten auf die Antragsgegnerin. Die notwendige Hinzuziehung der Bevollmächtigten soll festgestellt werden. Eine unmittelbare Erteilung des Auftrags wird nicht beantragt.</w:t>
      </w:r>
    </w:p>
    <w:p>
      <w:pPr>
        <w:pStyle w:val="Heading1"/>
      </w:pPr>
      <w:r>
        <w:t>2. Interesse am Auftrag und Verfahrensstand</w:t>
      </w:r>
    </w:p>
    <w:p>
      <w:r>
        <w:t>Die Antragstellerin hat ein fristgerechtes Angebot zu 1.837.766,70 EUR netto abgegeben und hält an ihrem Interesse am Auftrag fest. Die Antragsgegnerin beabsichtigt laut Vorabinformation vom 08.12.2026 den Zuschlag an Kunigunde Mörtelbau GmbH. Der Gesamtbauwert beträgt nach den Projektunterlagen 8.400.000,00 EUR netto. Dass der betrachtete Vertrag ein einzelnes Los betrifft, lässt die erforderliche Gesamtbetrachtung des Bauvorhabens nicht entfallen. Die Einordnung der kommunal beherrschten Gesellschaft nach Paragraf 99 Nummer 2 GWB ist anhand ihrer öffentlichen Aufgabe und der Organisationsunterlagen zu belegen.</w:t>
      </w:r>
    </w:p>
    <w:p>
      <w:r>
        <w:t>Die Antragstellerin erfuhr von dem gerügten Umstand am 08.12.2026. Ihre Rüge vom 10.12.2026 und die ausdrückliche Nichtabhilfe vom 11.12.2026 sind beigefügt. Der Entwurf wird vor dem angekündigten Vertragsschluss und innerhalb von 15 Kalendertagen nach Zugang der Nichtabhilfe erstellt. Vor tatsächlicher Einreichung sind Zugangsnachweise und ein zwischenzeitlicher Zuschlag erneut zu prüfen. Eine reine Absendung der Rüge wird nicht mit ihrem Eingang gleichgesetzt.</w:t>
      </w:r>
    </w:p>
    <w:p>
      <w:pPr>
        <w:pStyle w:val="Heading1"/>
      </w:pPr>
      <w:r>
        <w:t>3. Beanstandeter Vergabeverstoß</w:t>
      </w:r>
    </w:p>
    <w:p>
      <w:r>
        <w:t>Zu klären ist, ob die Antragsgegnerin lediglich einen fehlenden Nachweis einer schon benannten und verfügbaren Kapazität ergänzt oder ein nachträglich verändertes Angebot zugelassen hat. Eine Aufklärung darf nicht tatsächlich zur Einreichung eines neuen Angebots führen. Dazu EuGH, Urteil vom 11. Mai 2017 – C-131/16, Archus und Gama, Rn. 27–37 (ECLI:EU:C:2017:358; amtlicher Volltext https://eur-lex.europa.eu/legal-content/DE/TXT/?uri=CELEX:62016CJ0131). Der Ausgangsfall betrifft eine Sektorenvergabe und entscheidet nicht pauschal die Nachforderungsfrage dieses Rohbauauftrags. Hier sind die Voraussetzungen der geltenden VOB/A-EU, insbesondere die Unterscheidung von bereits vorhandenem Nachweis und neu geschaffenem Angebotsinhalt, konkret anzuwenden. Die Antragstellerin muss die Behauptung eines erstmaligen Kapazitätswechsels anhand der einzusehenden Akte erhärten oder korrigieren.</w:t>
      </w:r>
    </w:p>
    <w:p>
      <w:pPr>
        <w:pStyle w:val="Heading1"/>
      </w:pPr>
      <w:r>
        <w:t>4. Drohender Schaden und Akteneinsicht</w:t>
      </w:r>
    </w:p>
    <w:p>
      <w:r>
        <w:t>Der beanstandete Vorgang kann die Zuschlagschance unserer Mandantin beeinträchtigen. Die Antragstellerin liegt preislich hinter dem vorgesehenen Zuschlagsempfänger. Fehlt diesem eine rechtzeitig vorhandene und erforderliche Kapazität, kann dies ihre eigene Chance verbessern. Ist dagegen nur ein zulässig nachforderbarer Beleg ergänzt worden, trägt diese Beanstandung nicht. Der Antrag stellt die ungeklärte Alternative ausdrücklich dar.</w:t>
      </w:r>
    </w:p>
    <w:p>
      <w:r>
        <w:t>Die begehrte Akteneinsicht beschränkt sich auf die entscheidungserheblichen Verfahrens- und Wertungsunterlagen. Die Urkalkulation anderer Bieter wird nicht pauschal verlangt. Geheimnisschutz und wirksamer Rechtsschutz sind für die jeweilige Information abzuwägen; eine vollständige Schwärzung aller tragenden Gründe bedarf einer konkreten Rechtfertigung. EuGH, Urteil vom 17. November 2022 – C-54/21, Antea Polska (ECLI:EU:C:2022:888; amtlicher Volltext https://eur-lex.europa.eu/legal-content/DE/TXT/?uri=CELEX:62021CJ0054), betrifft diese Abwägung, ersetzt aber nicht die Anwendung von Paragraf 165 GWB.</w:t>
      </w:r>
    </w:p>
    <w:p>
      <w:pPr>
        <w:pStyle w:val="Heading1"/>
      </w:pPr>
      <w:r>
        <w:t>5. Zuschlagssicherung und Anlagen</w:t>
      </w:r>
    </w:p>
    <w:p>
      <w:r>
        <w:t>Wir bitten um unverzügliche Information der Antragsgegnerin über den Antrag nach Paragraf 169 Absatz 1 GWB. Erst die gesetzlich vorgesehene Information durch die Vergabekammer löst das dort geregelte Zuschlagsverbot aus. Der nach dem 1. Juli 2026 begonnene Vorgang ist unter Beachtung des Übergangsrechts zu behandeln. Bei einem Obsiegen der Antragsgegnerin vor der Vergabekammer endet das Verbot in der aktuellen Fassung bereits mit Bekanntgabe der Entscheidung; eine anschließende Beschwerde gegen die Ablehnung hat nicht automatisch aufschiebende Wirkung. Erforderliche weitere Eilmaßnahmen wären deshalb unverzüglich gesondert zu prüfen.</w:t>
      </w:r>
    </w:p>
    <w:p>
      <w:r>
        <w:t>Anlage A1: Teilnahmebedingungen, 01-vergabeunterlagen/04_Teilnahme_und_Wertung.docx.</w:t>
        <w:br/>
        <w:t>Anlage A2: Vorabinformation, 02-vergabeverfahren/06_Vorabinformation.pdf.</w:t>
        <w:br/>
        <w:t>Anlage A3: Rüge, 04-rechtsschutz/02_Ruege_Entwurf.pdf.</w:t>
        <w:br/>
        <w:t>Anlage A4: Nichtabhilfe, 04-rechtsschutz/03_Nichtabhilfe.eml.</w:t>
        <w:br/>
        <w:t>Die bisherige Anlage A1 ist nur die interne Ausgangsfassung. Vor Einreichung muss die tatsächlich veröffentlichte Endfassung beigefügt und ihr Inhalt abgeglichen werden. Die Entwurfsanlagen dürfen nicht als vollständiger Zustellungsnachweis bezeichnet werden.</w:t>
      </w:r>
    </w:p>
    <w:p>
      <w:r>
        <w:t>Rechtsanwalt Cem Wunibald Schlotter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Nachprüfungsantrag – Arbeitsentwurf der Bevollmächtigten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