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Zuschlag und verbindlicher Vertragsstand</w:t>
      </w:r>
    </w:p>
    <w:p>
      <w:r>
        <w:t>25.01.2027</w:t>
      </w:r>
    </w:p>
    <w:p>
      <w:r>
        <w:t>Soziales Wohnen Bielefeld gGmbH · Quittenhof 6, 33602 Bielefeld</w:t>
      </w:r>
    </w:p>
    <w:p>
      <w:r>
        <w:t>An Kunigunde Mörtelbau GmbH · SWB-QH-2026-02</w:t>
      </w:r>
    </w:p>
    <w:p>
      <w:r>
        <w:t>Sehr geehrte Damen und Herren,</w:t>
      </w:r>
    </w:p>
    <w:p>
      <w:r>
        <w:t>wir nehmen Ihr weiterhin bindendes Angebot für Los 01 – Erdarbeiten und Rohbau zu 1.775.620,00 EUR netto an. Vertragsgrundlage ist die abschließende veröffentlichte Leistungsfassung U04 mit Berichtigung 01, Ihr unverändertes Preisblatt und die im Angebot bezeichneten Vertragsbedingungen. Der ursprüngliche vorbereitende Stand U03 ist keine zusätzliche Leistungsvorgabe. Die VOB/B wurde mit dem vollständigen Vergabepaket bereitgestellt und nach der im Vertrag bezeichneten Fassung vereinbart. Die Einbeziehung und etwaige Abweichungen sind bei einer konkreten Rechtsfrage am vollständigen Vertrag nachzuvollziehen.</w:t>
      </w:r>
    </w:p>
    <w:p>
      <w:r>
        <w:t>Die neue Vorabinformation wurde nach dokumentierter Korrektur der Prüfung am 12.01.2027 elektronisch abgesandt. Die Vergabestelle hat vor diesem Zuschlag den Ablauf der Wartefrist und das Fehlen einer fortbestehenden Zuschlagssperre geprüft. Der frühere vorgesehene Zuschlagstermin wurde nicht genutzt. Die aktualisierte Budgetfreigabe bestätigt das unveränderte Rohbaulos und lässt die Mittel für die getrennten Ausbaugewerke unberührt.</w:t>
      </w:r>
    </w:p>
    <w:p>
      <w:r>
        <w:t>Der Ausführungsbeginn ist 08.02.2027; die Fertigstellung des Loses ist für 31.08.2027 vereinbart. Bitte legen Sie den Bauzeitenplan und die benannte Baustellenleitung fristgerecht vor. Friedemann Blechle koordiniert fachlich, besitzt aber keine allgemeine Vollmacht zur Beauftragung vergütungspflichtiger Änderungen. Solche Erklärungen sind an die Geschäftsführung zu richten. Die Unterzeichnung eines Aufmaßes bestätigt ohne weitere Erklärung weder Preis noch Anspruchsgrund.</w:t>
      </w:r>
    </w:p>
    <w:p>
      <w:r>
        <w:t>Mit freundlichen Grüßen</w:t>
        <w:br/>
        <w:t>Edeltraud Rumpel,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Zuschlag und verbindlicher Vertragsstand</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