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Nachtragsangebot N01 – geänderte Ausführung</w:t>
      </w:r>
    </w:p>
    <w:p>
      <w:r>
        <w:t>12.03.2027</w:t>
      </w:r>
    </w:p>
    <w:p>
      <w:r>
        <w:t>Kunigunde Mörtelbau GmbH · An Soziales Wohnen Bielefeld gGmbH · Nachtrag N01 zu SWB-QH-2026-02</w:t>
      </w:r>
    </w:p>
    <w:p>
      <w:pPr>
        <w:pStyle w:val="Heading1"/>
      </w:pPr>
      <w:r>
        <w:t>1. Änderungsgegenstand und Abgrenzung</w:t>
      </w:r>
    </w:p>
    <w:p>
      <w:r>
        <w:t>Wir nehmen Bezug auf die Anordnung der Geschäftsführung vom 5. März 2027 und die geprüfte Revision P07. Gegenstand dieses Angebots ist die geänderte Brandwand im Bereich des Treppenhauses. Die im ursprünglichen Vertrag bereits enthaltenen Mengen bleiben in der Vertragsabrechnung. N01 erfasst ausschließlich die dokumentierte Mehrleistung. Die Aufmaßliste und die Einzelkostenrechnung sind beigefügt. Eine bloße Mengenabweichung bei unverändertem Bauentwurf wird nicht ohne Prüfung mit einer angeordneten Leistungsänderung gleichgesetzt.</w:t>
      </w:r>
    </w:p>
    <w:p>
      <w:pPr>
        <w:pStyle w:val="Heading1"/>
      </w:pPr>
      <w:r>
        <w:t>2. Vergütungsansatz</w:t>
      </w:r>
    </w:p>
    <w:p>
      <w:r>
        <w:t>Für zusätzliches Mauerwerk setzen wir 140 Quadratmeter zu 186,00 EUR, für Beton 44 Kubikmeter zu 257,00 EUR und für Betonstahl 8.000 Kilogramm zu 2,48 EUR an. Daraus folgen 26.040,00 EUR, 11.308,00 EUR und 19.840,00 EUR, insgesamt 57.188,00 EUR direkte Mehrkosten.</w:t>
      </w:r>
    </w:p>
    <w:p>
      <w:r>
        <w:t>Auf diese direkten Kosten beanspruchen wir 8 Prozent allgemeine Geschäftskosten und 5 Prozent Wagnis und Gewinn. Die Prozentsätze sind unsere Angebotsforderung; sie werden nicht als bereits vereinbarte oder gesetzlich feststehende Werte bezeichnet. Baustellengemeinkosten sind in den direkten Ansätzen nur enthalten, soweit sie konkret zugeordnet sind. Zusätzlich angesetzte Vorhaltekosten bedürfen deshalb eines Abgleichs gegen Doppelberechnung. Die maßgebliche rechtliche Berechnungsmethode hängt von Vertrag, Anordnung und Vereinbarung ab; unser Angebot setzt diese Prüfung nicht außer Kraft.</w:t>
      </w:r>
    </w:p>
    <w:p>
      <w:pPr>
        <w:pStyle w:val="Heading1"/>
      </w:pPr>
      <w:r>
        <w:t>3. Terminbehauptung und Unterlagen</w:t>
      </w:r>
    </w:p>
    <w:p>
      <w:r>
        <w:t>Wir machen zunächst zwölf zusätzliche Kalendertage geltend. Im Wochenbericht der heutigen Baubesprechung, der diesem abschließenden Angebot beigefügt ist, sind allerdings nur fünf Tage ausdrücklich der fehlenden Planfreigabe zugeordnet; an zwei Tagen war unsere eigene Schalungskolonne nicht vollständig besetzt. Den Einfluss auf den kritischen Weg und mögliche Überlagerungen werden wir anhand des fortgeschriebenen Terminplans erläutern. Der hier genannte Zeitraum wird nicht zugleich als abschließend bewiesener Entschädigungs- oder Schadensersatzanspruch dargestellt.</w:t>
      </w:r>
    </w:p>
    <w:p>
      <w:r>
        <w:t>Wir bitten um Prüfung und einen Besprechungstermin. Die Freigabe des Aufmaßes soll ausdrücklich von einer Preisvereinbarung getrennt werden. Eine Gesamterledigung weiterer Forderungen bieten wir mit N01 nicht an. Die laufende Vertragsleistung wird im Rahmen der bestehenden Pflichten fortgeführt; gesetzliche oder vertragliche Rechte bei offenen Anordnungs- und Vergütungsfragen bleiben einer gesonderten Prüfung vorbehalten.</w:t>
      </w:r>
    </w:p>
    <w:p>
      <w:r>
        <w:t>Kunigunde Mörtel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Nachtragsangebot N01 – geänderte Ausführung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