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Baubesprechung und Wochenbericht 10</w:t>
      </w:r>
    </w:p>
    <w:p>
      <w:r>
        <w:t>12.03.2027</w:t>
      </w:r>
    </w:p>
    <w:p>
      <w:r>
        <w:t>SWB-QH-2026-02 · Besprechung vom 12. März 2027 · Friedemann Blechle, Kunigunde Mörtel, Milan Knödler</w:t>
      </w:r>
    </w:p>
    <w:p>
      <w:pPr>
        <w:pStyle w:val="Heading1"/>
      </w:pPr>
      <w:r>
        <w:t>1. Festgehaltene Ereignisse</w:t>
      </w:r>
    </w:p>
    <w:p>
      <w:r>
        <w:t>Am 1. März fragte die Bauleitung nach der endgültigen Revision der betroffenen Bauteile. Die ursprüngliche vertragliche Planung erlaubte die Ausführung der jetzt geänderten Bauteile so nicht. Am 3. März war der aktualisierte Plan intern abgestimmt, aber noch nicht zur Ausführung freigegeben. Die Geschäftsführung ordnete die Änderung am 5. März an. Der Auftragnehmer meldete am selben Tag eine Behinderung des betroffenen Arbeitsabschnitts. Die Nachricht ging der Projektleitung um 11:26 Uhr zu. Die Arbeiten in zwei anderen Abschnitten liefen weiter.</w:t>
      </w:r>
    </w:p>
    <w:p>
      <w:pPr>
        <w:pStyle w:val="Heading1"/>
      </w:pPr>
      <w:r>
        <w:t>2. Uneinigkeit über die Folgen</w:t>
      </w:r>
    </w:p>
    <w:p>
      <w:r>
        <w:t>Der Auftragnehmer ordnet fünf Tage der fehlenden Planfreigabe zu und verlangt insgesamt zwölf zusätzliche Kalendertage. Die Projektleitung hält den zusätzlichen Zeitraum nicht für ausreichend erklärt. Der Wochenbericht weist außerdem für den 8. und 9. März einen Ausfall eigener Schalungsfachkräfte aus. Die Parteien sind sich nicht einig, ob dieser Ausfall gleichzeitig wirkte oder die durch die Änderung ausgelöste Verschiebung weiter verlängerte. Ein vollständiger Soll-Ist-Abgleich mit Abhängigkeiten und eingesetzten Ressourcen ist noch nicht übergeben.</w:t>
      </w:r>
    </w:p>
    <w:p>
      <w:pPr>
        <w:pStyle w:val="Heading1"/>
      </w:pPr>
      <w:r>
        <w:t>3. Aufmaß und nächste Schritte</w:t>
      </w:r>
    </w:p>
    <w:p>
      <w:r>
        <w:t>Das gemeinsame Aufmaß bestätigt die in N01 benannten zusätzlichen Mengen vorbehaltlich der Kontrolle am tatsächlich ausgeführten Bauteil. Die Unterschriften unter dem Messblatt bestätigen keinen Preis und keinen pauschalen Bauzeitanspruch. Die Projektleitung fordert Lieferbelege, Stundenaufzeichnungen und die Darstellung ersparter Vertragsleistungen. Der Auftragnehmer soll die behaupteten Warte- und Wiederanlaufzeiten getrennt ausweisen. Die Vergabestelle führt die Änderungsliste fort und prüft die einschlägige Ausnahme nach Paragraf 132 GWB einschließlich möglicher Bekanntmachung.</w:t>
      </w:r>
    </w:p>
    <w:p>
      <w:pPr>
        <w:pStyle w:val="Heading1"/>
      </w:pPr>
      <w:r>
        <w:t>4. Abweichende Erinnerung</w:t>
      </w:r>
    </w:p>
    <w:p>
      <w:r>
        <w:t>Kunigunde Mörtel erinnert eine mündliche Zusage des Planers, „die Mehrkosten seien in Ordnung“. Friedemann Blechle bestätigt nur die technische Erforderlichkeit der neuen Geometrie. Beide halten fest, dass die Vergütung in der Besprechung nicht abschließend vereinbart wurde. Das Protokoll geht am 12. März an die Beteiligten. Die fehlende Antwort eines Empfängers wird nicht automatisch als Anerkennung aller streitigen Rechtsfolgen behandelt.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Baubesprechung und Wochenbericht 10</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