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Abschlagsrechnung 03 – Vertragsleistung und offener Nachtrag</w:t>
      </w:r>
    </w:p>
    <w:p>
      <w:r>
        <w:t>31.03.2027</w:t>
      </w:r>
    </w:p>
    <w:p>
      <w:r>
        <w:t>Kunigunde Mörtelbau GmbH · Rechnung AR-2027-03 · An Soziales Wohnen Bielefeld gGmbH</w:t>
      </w:r>
    </w:p>
    <w:p>
      <w:pPr>
        <w:pStyle w:val="Heading1"/>
      </w:pPr>
      <w:r>
        <w:t>1. Abgerechneter Stand zum 31. März 2027</w:t>
      </w:r>
    </w:p>
    <w:p>
      <w:r>
        <w:t>Die bisher aufgemessene Vertragsleistung beträgt 480.000,00 EUR netto. Bereits vereinnahmte Abschlagszahlungen betragen 300.000,00 EUR netto. Aus der unveränderten Vertragsleistung verbleiben damit 180.000,00 EUR netto. Hinzu kommen 34.200,00 EUR Umsatzsteuer bei dem für diese Rechnung angesetzten Steuersatz von 19 Prozent, mithin 214.200,00 EUR brutto. Die steuerliche Behandlung der konkreten Leistung ist anhand der Unternehmer- und Empfängereigenschaft vor der tatsächlichen Abrechnung zu prüfen; ein Übergang der Steuerschuld wird hier nicht unterstellt.</w:t>
      </w:r>
    </w:p>
    <w:p>
      <w:pPr>
        <w:pStyle w:val="Heading1"/>
      </w:pPr>
      <w:r>
        <w:t>2. Noch nicht abgerechnete Position</w:t>
      </w:r>
    </w:p>
    <w:p>
      <w:r>
        <w:t>N01 wird mit dieser Rechnung nicht zusätzlich gefordert, weil die gemeinsame Leistungsfeststellung noch nicht abgeschlossen ist. Der Nachtrag bleibt in der gesonderten Forderungsliste als streitig vermerkt. Die dort beanspruchten Zuschläge und Bauzeitfolgen werden deshalb weder in die 480.000,00 EUR eingerechnet noch ein zweites Mal als Abschlag angefordert. Die Rechnung enthält keine Erklärung über die endgültige Erledigung des Nachtrags.</w:t>
      </w:r>
    </w:p>
    <w:p>
      <w:pPr>
        <w:pStyle w:val="Heading1"/>
      </w:pPr>
      <w:r>
        <w:t>3. Beleg und Prüfung</w:t>
      </w:r>
    </w:p>
    <w:p>
      <w:r>
        <w:t>Die Vertragsleistung ist durch die positionsbezogenen Aufmaßblätter der Abschlagsprüfung nachzuweisen. Die vorliegende Kurzrechnung ersetzt diese Blätter nicht. Wir bitten um zeitnahe Benennung konkreter Einwendungen und um Zahlung innerhalb der vertraglich und gesetzlich maßgeblichen Frist nach Zugang der prüfbaren Unterlagen. Eine Zahlungserinnerung ohne festgestellten Zugang und Fälligkeit wird noch nicht versandt.</w:t>
      </w:r>
    </w:p>
    <w:p>
      <w:r>
        <w:t>Kunigunde Mörtel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Abschlagsrechnung 03 – Vertragsleistung und offener Nachtrag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