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Einkommen des Mandanten und die Jahresbruttogrenze von 100.000 EUR</w:t>
      </w:r>
    </w:p>
    <w:p>
      <w:pPr>
        <w:pStyle w:val="Heading2"/>
      </w:pPr>
      <w:r>
        <w:rPr>
          <w:rFonts w:ascii="Times New Roman" w:hAnsi="Times New Roman"/>
        </w:rPr>
        <w:t>1 Beschäftigung</w:t>
      </w:r>
    </w:p>
    <w:p>
      <w:pPr>
        <w:jc w:val="left"/>
      </w:pPr>
      <w:r>
        <w:t>Der Mandant ist als Vertriebsleiter bei der Carbontec Verfahrenstechnik GmbH in Würselen unbefristet angestellt. Das Anstellungsverhältnis besteht seit 2011.</w:t>
      </w:r>
    </w:p>
    <w:p>
      <w:pPr>
        <w:pStyle w:val="Heading2"/>
      </w:pPr>
      <w:r>
        <w:rPr>
          <w:rFonts w:ascii="Times New Roman" w:hAnsi="Times New Roman"/>
        </w:rPr>
        <w:t>2 Einkommensbestandteile 2025</w:t>
      </w:r>
    </w:p>
    <w:p>
      <w:pPr>
        <w:jc w:val="left"/>
      </w:pPr>
      <w:r>
        <w:t>2.1 Das Bruttogrundgehalt betrug 2025 monatlich 7.650 EUR, mithin 91.800 EUR im Jahr.</w:t>
      </w:r>
    </w:p>
    <w:p>
      <w:pPr>
        <w:jc w:val="left"/>
      </w:pPr>
      <w:r>
        <w:t>2.2 Hinzu kam ein erfolgsabhängiger Jahresbonus von 16.400 EUR brutto, ausgezahlt im März 2026 für das Geschäftsjahr 2025.</w:t>
      </w:r>
    </w:p>
    <w:p>
      <w:pPr>
        <w:jc w:val="left"/>
      </w:pPr>
      <w:r>
        <w:t>2.3 Der Mandant nutzt einen Dienstwagen auch privat; der geldwerte Vorteil ist mit 4.080 EUR im Jahr in der Lohnabrechnung ausgewiesen.</w:t>
      </w:r>
    </w:p>
    <w:p>
      <w:pPr>
        <w:jc w:val="left"/>
      </w:pPr>
      <w:r>
        <w:t>2.4 Das steuerpflichtige Bruttojahreseinkommen 2025 beträgt damit zusammen rund 112.280 EUR. Die Einzelwerte sind in csv/einkommensuebersicht_markus_reinhold.csv aufgeführt.</w:t>
      </w:r>
    </w:p>
    <w:p>
      <w:pPr>
        <w:pStyle w:val="Heading2"/>
      </w:pPr>
      <w:r>
        <w:rPr>
          <w:rFonts w:ascii="Times New Roman" w:hAnsi="Times New Roman"/>
        </w:rPr>
        <w:t>3 Einordnung zur Jahresbruttogrenze</w:t>
      </w:r>
    </w:p>
    <w:p>
      <w:pPr>
        <w:jc w:val="left"/>
      </w:pPr>
      <w:r>
        <w:t>Das Angehörigen-Entlastungsgesetz hat die Heranziehung zum Elternunterhalt an die Bedingung geknüpft, dass das unterhaltspflichtige Kind ein jährliches Gesamteinkommen von mehr als 100.000 EUR erzielt. Solange diese Grenze nicht überschritten wird, geht ein etwaiger Unterhaltsanspruch nicht auf den Sozialhilfeträger über. Der genaue Einkommensbegriff, die Frage, ob auf das Bruttoeinkommen oder auf eine bestimmte Summe von Einkunftsarten abzustellen ist, und der jeweils maßgebliche Stand sind als Arbeitswert zu behandeln und vor abschließender Verwendung an amtlicher Quelle zu verifizieren.</w:t>
      </w:r>
    </w:p>
    <w:p>
      <w:pPr>
        <w:pStyle w:val="Heading2"/>
      </w:pPr>
      <w:r>
        <w:rPr>
          <w:rFonts w:ascii="Times New Roman" w:hAnsi="Times New Roman"/>
        </w:rPr>
        <w:t>4 Vorläufige Bewertung</w:t>
      </w:r>
    </w:p>
    <w:p>
      <w:pPr>
        <w:jc w:val="left"/>
      </w:pPr>
      <w:r>
        <w:t>Nach den vorliegenden Zahlen überschreitet der Mandant die Grenze von 100.000 EUR im Jahr deutlich. Die zugunsten des Kindes wirkende Vermutung, dass die Grenze nicht überschritten wird, greift hier voraussichtlich nicht zu seinen Gunsten ein. Damit ist der Rückgriff gegen ihn dem Grunde nach eröffnet, und die weitere Prüfung der Leistungsfähigkeit, des Selbstbehalts und der anteiligen Haftung wird erforderlich.</w:t>
      </w:r>
    </w:p>
    <w:p>
      <w:pPr>
        <w:pStyle w:val="Heading2"/>
      </w:pPr>
      <w:r>
        <w:rPr>
          <w:rFonts w:ascii="Times New Roman" w:hAnsi="Times New Roman"/>
        </w:rPr>
        <w:t>5 Abgrenzung zur Schwester</w:t>
      </w:r>
    </w:p>
    <w:p>
      <w:pPr>
        <w:jc w:val="left"/>
      </w:pPr>
      <w:r>
        <w:t>Für die Schwester Carola Vennhoff ist nach deren Angaben von einem Jahresbruttoeinkommen deutlich unterhalb von 100.000 EUR auszugehen; dazu Aktenstück 05. Sollte sich dies bestätigen, scheidet ein Rückgriff gegen sie aus, und die Mithaftung ist neu zu bewerten.</w:t>
      </w:r>
    </w:p>
    <w:p>
      <w:pPr>
        <w:pStyle w:val="Heading2"/>
      </w:pPr>
      <w:r>
        <w:rPr>
          <w:rFonts w:ascii="Times New Roman" w:hAnsi="Times New Roman"/>
        </w:rPr>
        <w:t>6 Quellen und Belege</w:t>
      </w:r>
    </w:p>
    <w:p>
      <w:pPr>
        <w:jc w:val="left"/>
      </w:pPr>
      <w:r>
        <w:t>Quellenpflicht nach references/zitierweise.md. Grundlage sind die Lohn- und Gehaltsabrechnungen 2025, die Bonusabrechnung März 2026 und der Einkommensteuerbescheid 2024, die jeweils in Kopie vorliegen. Normbezug: Angehörigen-Entlastungsgesetz, Paragraf 94 SGB XII.</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