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40"/>
      </w:pPr>
      <w:r>
        <w:rPr>
          <w:rFonts w:ascii="Arial" w:hAnsi="Arial" w:eastAsia="Arial"/>
          <w:b/>
          <w:color w:val="17365D"/>
          <w:sz w:val="17"/>
        </w:rPr>
        <w:t>ARBEITSCHRONOLOGIE</w:t>
      </w:r>
    </w:p>
    <w:p>
      <w:pPr>
        <w:widowControl/>
        <w:spacing w:after="40"/>
      </w:pPr>
      <w:r>
        <w:rPr>
          <w:rFonts w:ascii="Arial" w:hAnsi="Arial" w:eastAsia="Arial"/>
          <w:b/>
          <w:sz w:val="25"/>
        </w:rPr>
        <w:t>Petersen &amp; Hagedorn Rechtsanwälte</w:t>
      </w:r>
    </w:p>
    <w:p>
      <w:pPr>
        <w:widowControl/>
        <w:spacing w:after="200"/>
      </w:pPr>
      <w:r>
        <w:rPr>
          <w:rFonts w:ascii="Arial" w:hAnsi="Arial" w:eastAsia="Arial"/>
          <w:color w:val="586069"/>
          <w:sz w:val="17"/>
        </w:rPr>
        <w:t>Fachbereich Erbrecht | Friedrichstraße 21 | 25980 Sylt | Telefon 04651 882140</w:t>
      </w:r>
    </w:p>
    <w:p>
      <w:pPr>
        <w:widowControl/>
        <w:spacing w:after="160"/>
      </w:pPr>
      <w:r>
        <w:rPr>
          <w:rFonts w:ascii="Arial" w:hAnsi="Arial" w:eastAsia="Arial"/>
        </w:rPr>
        <w:t>Intern - elektronische Handakte</w:t>
      </w:r>
    </w:p>
    <w:p>
      <w:pPr>
        <w:widowControl/>
        <w:spacing w:after="80"/>
      </w:pPr>
      <w:r>
        <w:rPr>
          <w:rFonts w:ascii="Arial" w:hAnsi="Arial" w:eastAsia="Arial"/>
          <w:color w:val="586069"/>
          <w:sz w:val="18"/>
        </w:rPr>
        <w:t>Datum: 01.07.2026  |  Zeichen: PMH/26-184 AM</w:t>
      </w:r>
    </w:p>
    <w:p>
      <w:pPr>
        <w:pStyle w:val="Title"/>
        <w:widowControl/>
      </w:pPr>
      <w:r>
        <w:rPr>
          <w:rFonts w:ascii="Arial" w:hAnsi="Arial" w:eastAsia="Arial"/>
        </w:rPr>
        <w:t>Chronologie und Belegstatus</w:t>
      </w:r>
    </w:p>
    <w:p>
      <w:pPr>
        <w:widowControl/>
        <w:jc w:val="both"/>
      </w:pPr>
      <w:r>
        <w:rPr>
          <w:rFonts w:ascii="Arial" w:hAnsi="Arial" w:eastAsia="Arial"/>
        </w:rPr>
        <w:t>Die Chronologie bildet Tatsachen, Beleglage und Widersprüche ab. Datumsangaben ohne Primärbeleg bleiben als vorläufig gekennzeichnet.</w:t>
      </w:r>
    </w:p>
    <w:p>
      <w:pPr>
        <w:pStyle w:val="Heading1"/>
        <w:widowControl/>
      </w:pPr>
      <w:r>
        <w:rPr>
          <w:rFonts w:ascii="Arial" w:hAnsi="Arial" w:eastAsia="Arial"/>
        </w:rPr>
        <w:t>1. Zeitachse</w:t>
      </w:r>
    </w:p>
    <w:tbl>
      <w:tblPr>
        <w:tblStyle w:val="TableGrid"/>
        <w:tblW w:type="dxa" w:w="9600"/>
        <w:tblLayout w:type="autofit"/>
        <w:tblLook w:firstColumn="1" w:firstRow="1" w:lastColumn="0" w:lastRow="0" w:noHBand="0" w:noVBand="1" w:val="04A0"/>
        <w:jc w:val="center"/>
        <w:tblInd w:w="120" w:type="dxa"/>
      </w:tblPr>
      <w:tblGrid>
        <w:gridCol w:w="1250"/>
        <w:gridCol w:w="2750"/>
        <w:gridCol w:w="2500"/>
        <w:gridCol w:w="3100"/>
      </w:tblGrid>
      <w:tr>
        <w:trPr>
          <w:tblHeader w:val="true"/>
          <w:tblHeader w:val="true"/>
          <w:tblHeader w:val="true"/>
          <w:tblHeader w:val="true"/>
          <w:tblHeader w:val="true"/>
          <w:tblHeader w:val="true"/>
        </w:trPr>
        <w:tc>
          <w:tcPr>
            <w:tcW w:type="dxa" w:w="1250"/>
            <w:vAlign w:val="center"/>
            <w:shd w:fill="17324D"/>
            <w:tcMar>
              <w:top w:w="90" w:type="dxa"/>
              <w:start w:w="100" w:type="dxa"/>
              <w:bottom w:w="90" w:type="dxa"/>
              <w:end w:w="100" w:type="dxa"/>
            </w:tcMar>
          </w:tcPr>
          <w:p>
            <w:pPr>
              <w:spacing w:after="30"/>
            </w:pPr>
            <w:r>
              <w:rPr>
                <w:rFonts w:ascii="Arial" w:hAnsi="Arial"/>
                <w:b/>
                <w:color w:val="FFFFFF"/>
                <w:sz w:val="17"/>
              </w:rPr>
              <w:t>Datum</w:t>
            </w:r>
          </w:p>
        </w:tc>
        <w:tc>
          <w:tcPr>
            <w:tcW w:type="dxa" w:w="2750"/>
            <w:vAlign w:val="center"/>
            <w:shd w:fill="17324D"/>
            <w:tcMar>
              <w:top w:w="90" w:type="dxa"/>
              <w:start w:w="100" w:type="dxa"/>
              <w:bottom w:w="90" w:type="dxa"/>
              <w:end w:w="100" w:type="dxa"/>
            </w:tcMar>
          </w:tcPr>
          <w:p>
            <w:pPr>
              <w:spacing w:after="30"/>
            </w:pPr>
            <w:r>
              <w:rPr>
                <w:rFonts w:ascii="Arial" w:hAnsi="Arial"/>
                <w:b/>
                <w:color w:val="FFFFFF"/>
                <w:sz w:val="17"/>
              </w:rPr>
              <w:t>Vorgang</w:t>
            </w:r>
          </w:p>
        </w:tc>
        <w:tc>
          <w:tcPr>
            <w:tcW w:type="dxa" w:w="2500"/>
            <w:vAlign w:val="center"/>
            <w:shd w:fill="17324D"/>
            <w:tcMar>
              <w:top w:w="90" w:type="dxa"/>
              <w:start w:w="100" w:type="dxa"/>
              <w:bottom w:w="90" w:type="dxa"/>
              <w:end w:w="100" w:type="dxa"/>
            </w:tcMar>
          </w:tcPr>
          <w:p>
            <w:pPr>
              <w:spacing w:after="30"/>
            </w:pPr>
            <w:r>
              <w:rPr>
                <w:rFonts w:ascii="Arial" w:hAnsi="Arial"/>
                <w:b/>
                <w:color w:val="FFFFFF"/>
                <w:sz w:val="17"/>
              </w:rPr>
              <w:t>Quelle</w:t>
            </w:r>
          </w:p>
        </w:tc>
        <w:tc>
          <w:tcPr>
            <w:tcW w:type="dxa" w:w="3100"/>
            <w:vAlign w:val="center"/>
            <w:shd w:fill="17324D"/>
            <w:tcMar>
              <w:top w:w="90" w:type="dxa"/>
              <w:start w:w="100" w:type="dxa"/>
              <w:bottom w:w="90" w:type="dxa"/>
              <w:end w:w="100" w:type="dxa"/>
            </w:tcMar>
          </w:tcPr>
          <w:p>
            <w:pPr>
              <w:spacing w:after="30"/>
            </w:pPr>
            <w:r>
              <w:rPr>
                <w:rFonts w:ascii="Arial" w:hAnsi="Arial"/>
                <w:b/>
                <w:color w:val="FFFFFF"/>
                <w:sz w:val="17"/>
              </w:rPr>
              <w:t>Offener Punkt</w:t>
            </w:r>
          </w:p>
        </w:tc>
      </w:tr>
      <w:tr>
        <w:tc>
          <w:tcPr>
            <w:tcW w:type="dxa" w:w="1250"/>
            <w:vAlign w:val="center"/>
            <w:tcMar>
              <w:top w:w="90" w:type="dxa"/>
              <w:start w:w="100" w:type="dxa"/>
              <w:bottom w:w="90" w:type="dxa"/>
              <w:end w:w="100" w:type="dxa"/>
            </w:tcMar>
          </w:tcPr>
          <w:p>
            <w:pPr>
              <w:spacing w:after="30" w:line="259" w:lineRule="auto"/>
            </w:pPr>
            <w:r>
              <w:rPr>
                <w:rFonts w:ascii="Arial" w:hAnsi="Arial"/>
                <w:sz w:val="17"/>
              </w:rPr>
              <w:t>03.02.2018</w:t>
            </w:r>
          </w:p>
        </w:tc>
        <w:tc>
          <w:tcPr>
            <w:tcW w:type="dxa" w:w="2750"/>
            <w:vAlign w:val="center"/>
            <w:tcMar>
              <w:top w:w="90" w:type="dxa"/>
              <w:start w:w="100" w:type="dxa"/>
              <w:bottom w:w="90" w:type="dxa"/>
              <w:end w:w="100" w:type="dxa"/>
            </w:tcMar>
          </w:tcPr>
          <w:p>
            <w:pPr>
              <w:spacing w:after="30" w:line="259" w:lineRule="auto"/>
            </w:pPr>
            <w:r>
              <w:rPr>
                <w:rFonts w:ascii="Arial" w:hAnsi="Arial"/>
                <w:sz w:val="17"/>
              </w:rPr>
              <w:t>Grundstücksübertragung an Karsten</w:t>
            </w:r>
          </w:p>
        </w:tc>
        <w:tc>
          <w:tcPr>
            <w:tcW w:type="dxa" w:w="2500"/>
            <w:vAlign w:val="center"/>
            <w:tcMar>
              <w:top w:w="90" w:type="dxa"/>
              <w:start w:w="100" w:type="dxa"/>
              <w:bottom w:w="90" w:type="dxa"/>
              <w:end w:w="100" w:type="dxa"/>
            </w:tcMar>
          </w:tcPr>
          <w:p>
            <w:pPr>
              <w:spacing w:after="30" w:line="259" w:lineRule="auto"/>
            </w:pPr>
            <w:r>
              <w:rPr>
                <w:rFonts w:ascii="Arial" w:hAnsi="Arial"/>
                <w:sz w:val="17"/>
              </w:rPr>
              <w:t>UR 118/2018, unvollständige Kopie</w:t>
            </w:r>
          </w:p>
        </w:tc>
        <w:tc>
          <w:tcPr>
            <w:tcW w:type="dxa" w:w="3100"/>
            <w:vAlign w:val="center"/>
            <w:tcMar>
              <w:top w:w="90" w:type="dxa"/>
              <w:start w:w="100" w:type="dxa"/>
              <w:bottom w:w="90" w:type="dxa"/>
              <w:end w:w="100" w:type="dxa"/>
            </w:tcMar>
          </w:tcPr>
          <w:p>
            <w:pPr>
              <w:spacing w:after="30" w:line="259" w:lineRule="auto"/>
            </w:pPr>
            <w:r>
              <w:rPr>
                <w:rFonts w:ascii="Arial" w:hAnsi="Arial"/>
                <w:sz w:val="17"/>
              </w:rPr>
              <w:t>gesamter Urkundentext und Vollzugsmitteilung</w:t>
            </w:r>
          </w:p>
        </w:tc>
      </w:tr>
      <w:tr>
        <w:tc>
          <w:tcPr>
            <w:tcW w:type="dxa" w:w="1250"/>
            <w:vAlign w:val="center"/>
            <w:shd w:fill="F2F4F5"/>
            <w:tcMar>
              <w:top w:w="90" w:type="dxa"/>
              <w:start w:w="100" w:type="dxa"/>
              <w:bottom w:w="90" w:type="dxa"/>
              <w:end w:w="100" w:type="dxa"/>
            </w:tcMar>
          </w:tcPr>
          <w:p>
            <w:pPr>
              <w:spacing w:after="30" w:line="259" w:lineRule="auto"/>
            </w:pPr>
            <w:r>
              <w:rPr>
                <w:rFonts w:ascii="Arial" w:hAnsi="Arial"/>
                <w:sz w:val="17"/>
              </w:rPr>
              <w:t>19.04.2018</w:t>
            </w:r>
          </w:p>
        </w:tc>
        <w:tc>
          <w:tcPr>
            <w:tcW w:type="dxa" w:w="2750"/>
            <w:vAlign w:val="center"/>
            <w:shd w:fill="F2F4F5"/>
            <w:tcMar>
              <w:top w:w="90" w:type="dxa"/>
              <w:start w:w="100" w:type="dxa"/>
              <w:bottom w:w="90" w:type="dxa"/>
              <w:end w:w="100" w:type="dxa"/>
            </w:tcMar>
          </w:tcPr>
          <w:p>
            <w:pPr>
              <w:spacing w:after="30" w:line="259" w:lineRule="auto"/>
            </w:pPr>
            <w:r>
              <w:rPr>
                <w:rFonts w:ascii="Arial" w:hAnsi="Arial"/>
                <w:sz w:val="17"/>
              </w:rPr>
              <w:t>Eigentumsumschreibung</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Grundbuchmitteilung laut Karsten</w:t>
            </w:r>
          </w:p>
        </w:tc>
        <w:tc>
          <w:tcPr>
            <w:tcW w:type="dxa" w:w="3100"/>
            <w:vAlign w:val="center"/>
            <w:shd w:fill="F2F4F5"/>
            <w:tcMar>
              <w:top w:w="90" w:type="dxa"/>
              <w:start w:w="100" w:type="dxa"/>
              <w:bottom w:w="90" w:type="dxa"/>
              <w:end w:w="100" w:type="dxa"/>
            </w:tcMar>
          </w:tcPr>
          <w:p>
            <w:pPr>
              <w:spacing w:after="30" w:line="259" w:lineRule="auto"/>
            </w:pPr>
            <w:r>
              <w:rPr>
                <w:rFonts w:ascii="Arial" w:hAnsi="Arial"/>
                <w:sz w:val="17"/>
              </w:rPr>
              <w:t>aktueller und historischer Auszug</w:t>
            </w:r>
          </w:p>
        </w:tc>
      </w:tr>
      <w:tr>
        <w:tc>
          <w:tcPr>
            <w:tcW w:type="dxa" w:w="1250"/>
            <w:vAlign w:val="center"/>
            <w:tcMar>
              <w:top w:w="90" w:type="dxa"/>
              <w:start w:w="100" w:type="dxa"/>
              <w:bottom w:w="90" w:type="dxa"/>
              <w:end w:w="100" w:type="dxa"/>
            </w:tcMar>
          </w:tcPr>
          <w:p>
            <w:pPr>
              <w:spacing w:after="30" w:line="259" w:lineRule="auto"/>
            </w:pPr>
            <w:r>
              <w:rPr>
                <w:rFonts w:ascii="Arial" w:hAnsi="Arial"/>
                <w:sz w:val="17"/>
              </w:rPr>
              <w:t>2018-2025</w:t>
            </w:r>
          </w:p>
        </w:tc>
        <w:tc>
          <w:tcPr>
            <w:tcW w:type="dxa" w:w="2750"/>
            <w:vAlign w:val="center"/>
            <w:tcMar>
              <w:top w:w="90" w:type="dxa"/>
              <w:start w:w="100" w:type="dxa"/>
              <w:bottom w:w="90" w:type="dxa"/>
              <w:end w:w="100" w:type="dxa"/>
            </w:tcMar>
          </w:tcPr>
          <w:p>
            <w:pPr>
              <w:spacing w:after="30" w:line="259" w:lineRule="auto"/>
            </w:pPr>
            <w:r>
              <w:rPr>
                <w:rFonts w:ascii="Arial" w:hAnsi="Arial"/>
                <w:sz w:val="17"/>
              </w:rPr>
              <w:t>Ferienvermietung Obergeschoss</w:t>
            </w:r>
          </w:p>
        </w:tc>
        <w:tc>
          <w:tcPr>
            <w:tcW w:type="dxa" w:w="2500"/>
            <w:vAlign w:val="center"/>
            <w:tcMar>
              <w:top w:w="90" w:type="dxa"/>
              <w:start w:w="100" w:type="dxa"/>
              <w:bottom w:w="90" w:type="dxa"/>
              <w:end w:w="100" w:type="dxa"/>
            </w:tcMar>
          </w:tcPr>
          <w:p>
            <w:pPr>
              <w:spacing w:after="30" w:line="259" w:lineRule="auto"/>
            </w:pPr>
            <w:r>
              <w:rPr>
                <w:rFonts w:ascii="Arial" w:hAnsi="Arial"/>
                <w:sz w:val="17"/>
              </w:rPr>
              <w:t>Kalender und Kontoauszüge auszugsweise</w:t>
            </w:r>
          </w:p>
        </w:tc>
        <w:tc>
          <w:tcPr>
            <w:tcW w:type="dxa" w:w="3100"/>
            <w:vAlign w:val="center"/>
            <w:tcMar>
              <w:top w:w="90" w:type="dxa"/>
              <w:start w:w="100" w:type="dxa"/>
              <w:bottom w:w="90" w:type="dxa"/>
              <w:end w:w="100" w:type="dxa"/>
            </w:tcMar>
          </w:tcPr>
          <w:p>
            <w:pPr>
              <w:spacing w:after="30" w:line="259" w:lineRule="auto"/>
            </w:pPr>
            <w:r>
              <w:rPr>
                <w:rFonts w:ascii="Arial" w:hAnsi="Arial"/>
                <w:sz w:val="17"/>
              </w:rPr>
              <w:t>Vertragspartner, Mieterlöse, Kosten</w:t>
            </w:r>
          </w:p>
        </w:tc>
      </w:tr>
      <w:tr>
        <w:tc>
          <w:tcPr>
            <w:tcW w:type="dxa" w:w="1250"/>
            <w:vAlign w:val="center"/>
            <w:shd w:fill="F2F4F5"/>
            <w:tcMar>
              <w:top w:w="90" w:type="dxa"/>
              <w:start w:w="100" w:type="dxa"/>
              <w:bottom w:w="90" w:type="dxa"/>
              <w:end w:w="100" w:type="dxa"/>
            </w:tcMar>
          </w:tcPr>
          <w:p>
            <w:pPr>
              <w:spacing w:after="30" w:line="259" w:lineRule="auto"/>
            </w:pPr>
            <w:r>
              <w:rPr>
                <w:rFonts w:ascii="Arial" w:hAnsi="Arial"/>
                <w:sz w:val="17"/>
              </w:rPr>
              <w:t>18.09.2021</w:t>
            </w:r>
          </w:p>
        </w:tc>
        <w:tc>
          <w:tcPr>
            <w:tcW w:type="dxa" w:w="2750"/>
            <w:vAlign w:val="center"/>
            <w:shd w:fill="F2F4F5"/>
            <w:tcMar>
              <w:top w:w="90" w:type="dxa"/>
              <w:start w:w="100" w:type="dxa"/>
              <w:bottom w:w="90" w:type="dxa"/>
              <w:end w:w="100" w:type="dxa"/>
            </w:tcMar>
          </w:tcPr>
          <w:p>
            <w:pPr>
              <w:spacing w:after="30" w:line="259" w:lineRule="auto"/>
            </w:pPr>
            <w:r>
              <w:rPr>
                <w:rFonts w:ascii="Arial" w:hAnsi="Arial"/>
                <w:sz w:val="17"/>
              </w:rPr>
              <w:t>Depotübertrag auf Theo</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Bankbuchung 47-88301</w:t>
            </w:r>
          </w:p>
        </w:tc>
        <w:tc>
          <w:tcPr>
            <w:tcW w:type="dxa" w:w="3100"/>
            <w:vAlign w:val="center"/>
            <w:shd w:fill="F2F4F5"/>
            <w:tcMar>
              <w:top w:w="90" w:type="dxa"/>
              <w:start w:w="100" w:type="dxa"/>
              <w:bottom w:w="90" w:type="dxa"/>
              <w:end w:w="100" w:type="dxa"/>
            </w:tcMar>
          </w:tcPr>
          <w:p>
            <w:pPr>
              <w:spacing w:after="30" w:line="259" w:lineRule="auto"/>
            </w:pPr>
            <w:r>
              <w:rPr>
                <w:rFonts w:ascii="Arial" w:hAnsi="Arial"/>
                <w:sz w:val="17"/>
              </w:rPr>
              <w:t>Depotauftrag, Gegenleistung, Ertragsabrede</w:t>
            </w:r>
          </w:p>
        </w:tc>
      </w:tr>
      <w:tr>
        <w:tc>
          <w:tcPr>
            <w:tcW w:type="dxa" w:w="1250"/>
            <w:vAlign w:val="center"/>
            <w:tcMar>
              <w:top w:w="90" w:type="dxa"/>
              <w:start w:w="100" w:type="dxa"/>
              <w:bottom w:w="90" w:type="dxa"/>
              <w:end w:w="100" w:type="dxa"/>
            </w:tcMar>
          </w:tcPr>
          <w:p>
            <w:pPr>
              <w:spacing w:after="30" w:line="259" w:lineRule="auto"/>
            </w:pPr>
            <w:r>
              <w:rPr>
                <w:rFonts w:ascii="Arial" w:hAnsi="Arial"/>
                <w:sz w:val="17"/>
              </w:rPr>
              <w:t>06.05.2022</w:t>
            </w:r>
          </w:p>
        </w:tc>
        <w:tc>
          <w:tcPr>
            <w:tcW w:type="dxa" w:w="2750"/>
            <w:vAlign w:val="center"/>
            <w:tcMar>
              <w:top w:w="90" w:type="dxa"/>
              <w:start w:w="100" w:type="dxa"/>
              <w:bottom w:w="90" w:type="dxa"/>
              <w:end w:w="100" w:type="dxa"/>
            </w:tcMar>
          </w:tcPr>
          <w:p>
            <w:pPr>
              <w:spacing w:after="30" w:line="259" w:lineRule="auto"/>
            </w:pPr>
            <w:r>
              <w:rPr>
                <w:rFonts w:ascii="Arial" w:hAnsi="Arial"/>
                <w:sz w:val="17"/>
              </w:rPr>
              <w:t>Einzeltestament Helga</w:t>
            </w:r>
          </w:p>
        </w:tc>
        <w:tc>
          <w:tcPr>
            <w:tcW w:type="dxa" w:w="2500"/>
            <w:vAlign w:val="center"/>
            <w:tcMar>
              <w:top w:w="90" w:type="dxa"/>
              <w:start w:w="100" w:type="dxa"/>
              <w:bottom w:w="90" w:type="dxa"/>
              <w:end w:w="100" w:type="dxa"/>
            </w:tcMar>
          </w:tcPr>
          <w:p>
            <w:pPr>
              <w:spacing w:after="30" w:line="259" w:lineRule="auto"/>
            </w:pPr>
            <w:r>
              <w:rPr>
                <w:rFonts w:ascii="Arial" w:hAnsi="Arial"/>
                <w:sz w:val="17"/>
              </w:rPr>
              <w:t>Eröffnungsabschrift</w:t>
            </w:r>
          </w:p>
        </w:tc>
        <w:tc>
          <w:tcPr>
            <w:tcW w:type="dxa" w:w="3100"/>
            <w:vAlign w:val="center"/>
            <w:tcMar>
              <w:top w:w="90" w:type="dxa"/>
              <w:start w:w="100" w:type="dxa"/>
              <w:bottom w:w="90" w:type="dxa"/>
              <w:end w:w="100" w:type="dxa"/>
            </w:tcMar>
          </w:tcPr>
          <w:p>
            <w:pPr>
              <w:spacing w:after="30" w:line="259" w:lineRule="auto"/>
            </w:pPr>
            <w:r>
              <w:rPr>
                <w:rFonts w:ascii="Arial" w:hAnsi="Arial"/>
                <w:sz w:val="17"/>
              </w:rPr>
              <w:t>Auslegung und frühere Verfügungen</w:t>
            </w:r>
          </w:p>
        </w:tc>
      </w:tr>
      <w:tr>
        <w:tc>
          <w:tcPr>
            <w:tcW w:type="dxa" w:w="1250"/>
            <w:vAlign w:val="center"/>
            <w:shd w:fill="F2F4F5"/>
            <w:tcMar>
              <w:top w:w="90" w:type="dxa"/>
              <w:start w:w="100" w:type="dxa"/>
              <w:bottom w:w="90" w:type="dxa"/>
              <w:end w:w="100" w:type="dxa"/>
            </w:tcMar>
          </w:tcPr>
          <w:p>
            <w:pPr>
              <w:spacing w:after="30" w:line="259" w:lineRule="auto"/>
            </w:pPr>
            <w:r>
              <w:rPr>
                <w:rFonts w:ascii="Arial" w:hAnsi="Arial"/>
                <w:sz w:val="17"/>
              </w:rPr>
              <w:t>03.11.2023</w:t>
            </w:r>
          </w:p>
        </w:tc>
        <w:tc>
          <w:tcPr>
            <w:tcW w:type="dxa" w:w="2750"/>
            <w:vAlign w:val="center"/>
            <w:shd w:fill="F2F4F5"/>
            <w:tcMar>
              <w:top w:w="90" w:type="dxa"/>
              <w:start w:w="100" w:type="dxa"/>
              <w:bottom w:w="90" w:type="dxa"/>
              <w:end w:w="100" w:type="dxa"/>
            </w:tcMar>
          </w:tcPr>
          <w:p>
            <w:pPr>
              <w:spacing w:after="30" w:line="259" w:lineRule="auto"/>
            </w:pPr>
            <w:r>
              <w:rPr>
                <w:rFonts w:ascii="Arial" w:hAnsi="Arial"/>
                <w:sz w:val="17"/>
              </w:rPr>
              <w:t>Beginn ambulanter Pflege</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Leistungsnachweise Nordsee-Pflege</w:t>
            </w:r>
          </w:p>
        </w:tc>
        <w:tc>
          <w:tcPr>
            <w:tcW w:type="dxa" w:w="3100"/>
            <w:vAlign w:val="center"/>
            <w:shd w:fill="F2F4F5"/>
            <w:tcMar>
              <w:top w:w="90" w:type="dxa"/>
              <w:start w:w="100" w:type="dxa"/>
              <w:bottom w:w="90" w:type="dxa"/>
              <w:end w:w="100" w:type="dxa"/>
            </w:tcMar>
          </w:tcPr>
          <w:p>
            <w:pPr>
              <w:spacing w:after="30" w:line="259" w:lineRule="auto"/>
            </w:pPr>
            <w:r>
              <w:rPr>
                <w:rFonts w:ascii="Arial" w:hAnsi="Arial"/>
                <w:sz w:val="17"/>
              </w:rPr>
              <w:t>Eigenleistungen Karsten daneben</w:t>
            </w:r>
          </w:p>
        </w:tc>
      </w:tr>
      <w:tr>
        <w:tc>
          <w:tcPr>
            <w:tcW w:type="dxa" w:w="1250"/>
            <w:vAlign w:val="center"/>
            <w:tcMar>
              <w:top w:w="90" w:type="dxa"/>
              <w:start w:w="100" w:type="dxa"/>
              <w:bottom w:w="90" w:type="dxa"/>
              <w:end w:w="100" w:type="dxa"/>
            </w:tcMar>
          </w:tcPr>
          <w:p>
            <w:pPr>
              <w:spacing w:after="30" w:line="259" w:lineRule="auto"/>
            </w:pPr>
            <w:r>
              <w:rPr>
                <w:rFonts w:ascii="Arial" w:hAnsi="Arial"/>
                <w:sz w:val="17"/>
              </w:rPr>
              <w:t>14.01.2026</w:t>
            </w:r>
          </w:p>
        </w:tc>
        <w:tc>
          <w:tcPr>
            <w:tcW w:type="dxa" w:w="2750"/>
            <w:vAlign w:val="center"/>
            <w:tcMar>
              <w:top w:w="90" w:type="dxa"/>
              <w:start w:w="100" w:type="dxa"/>
              <w:bottom w:w="90" w:type="dxa"/>
              <w:end w:w="100" w:type="dxa"/>
            </w:tcMar>
          </w:tcPr>
          <w:p>
            <w:pPr>
              <w:spacing w:after="30" w:line="259" w:lineRule="auto"/>
            </w:pPr>
            <w:r>
              <w:rPr>
                <w:rFonts w:ascii="Arial" w:hAnsi="Arial"/>
                <w:sz w:val="17"/>
              </w:rPr>
              <w:t>Tod Helga Martensen</w:t>
            </w:r>
          </w:p>
        </w:tc>
        <w:tc>
          <w:tcPr>
            <w:tcW w:type="dxa" w:w="2500"/>
            <w:vAlign w:val="center"/>
            <w:tcMar>
              <w:top w:w="90" w:type="dxa"/>
              <w:start w:w="100" w:type="dxa"/>
              <w:bottom w:w="90" w:type="dxa"/>
              <w:end w:w="100" w:type="dxa"/>
            </w:tcMar>
          </w:tcPr>
          <w:p>
            <w:pPr>
              <w:spacing w:after="30" w:line="259" w:lineRule="auto"/>
            </w:pPr>
            <w:r>
              <w:rPr>
                <w:rFonts w:ascii="Arial" w:hAnsi="Arial"/>
                <w:sz w:val="17"/>
              </w:rPr>
              <w:t>Sterbeurkunde S 17/2026</w:t>
            </w:r>
          </w:p>
        </w:tc>
        <w:tc>
          <w:tcPr>
            <w:tcW w:type="dxa" w:w="3100"/>
            <w:vAlign w:val="center"/>
            <w:tcMar>
              <w:top w:w="90" w:type="dxa"/>
              <w:start w:w="100" w:type="dxa"/>
              <w:bottom w:w="90" w:type="dxa"/>
              <w:end w:w="100" w:type="dxa"/>
            </w:tcMar>
          </w:tcPr>
          <w:p>
            <w:pPr>
              <w:spacing w:after="30" w:line="259" w:lineRule="auto"/>
            </w:pPr>
            <w:r>
              <w:rPr>
                <w:rFonts w:ascii="Arial" w:hAnsi="Arial"/>
                <w:sz w:val="17"/>
              </w:rPr>
              <w:t>unstreitig</w:t>
            </w:r>
          </w:p>
        </w:tc>
      </w:tr>
      <w:tr>
        <w:tc>
          <w:tcPr>
            <w:tcW w:type="dxa" w:w="1250"/>
            <w:vAlign w:val="center"/>
            <w:shd w:fill="F2F4F5"/>
            <w:tcMar>
              <w:top w:w="90" w:type="dxa"/>
              <w:start w:w="100" w:type="dxa"/>
              <w:bottom w:w="90" w:type="dxa"/>
              <w:end w:w="100" w:type="dxa"/>
            </w:tcMar>
          </w:tcPr>
          <w:p>
            <w:pPr>
              <w:spacing w:after="30" w:line="259" w:lineRule="auto"/>
            </w:pPr>
            <w:r>
              <w:rPr>
                <w:rFonts w:ascii="Arial" w:hAnsi="Arial"/>
                <w:sz w:val="17"/>
              </w:rPr>
              <w:t>30.03.2026</w:t>
            </w:r>
          </w:p>
        </w:tc>
        <w:tc>
          <w:tcPr>
            <w:tcW w:type="dxa" w:w="2750"/>
            <w:vAlign w:val="center"/>
            <w:shd w:fill="F2F4F5"/>
            <w:tcMar>
              <w:top w:w="90" w:type="dxa"/>
              <w:start w:w="100" w:type="dxa"/>
              <w:bottom w:w="90" w:type="dxa"/>
              <w:end w:w="100" w:type="dxa"/>
            </w:tcMar>
          </w:tcPr>
          <w:p>
            <w:pPr>
              <w:spacing w:after="30" w:line="259" w:lineRule="auto"/>
            </w:pPr>
            <w:r>
              <w:rPr>
                <w:rFonts w:ascii="Arial" w:hAnsi="Arial"/>
                <w:sz w:val="17"/>
              </w:rPr>
              <w:t>Privates Nachlassverzeichnis</w:t>
            </w:r>
          </w:p>
        </w:tc>
        <w:tc>
          <w:tcPr>
            <w:tcW w:type="dxa" w:w="2500"/>
            <w:vAlign w:val="center"/>
            <w:shd w:fill="F2F4F5"/>
            <w:tcMar>
              <w:top w:w="90" w:type="dxa"/>
              <w:start w:w="100" w:type="dxa"/>
              <w:bottom w:w="90" w:type="dxa"/>
              <w:end w:w="100" w:type="dxa"/>
            </w:tcMar>
          </w:tcPr>
          <w:p>
            <w:pPr>
              <w:spacing w:after="30" w:line="259" w:lineRule="auto"/>
            </w:pPr>
            <w:r>
              <w:rPr>
                <w:rFonts w:ascii="Arial" w:hAnsi="Arial"/>
                <w:sz w:val="17"/>
              </w:rPr>
              <w:t>Schreiben Karsten</w:t>
            </w:r>
          </w:p>
        </w:tc>
        <w:tc>
          <w:tcPr>
            <w:tcW w:type="dxa" w:w="3100"/>
            <w:vAlign w:val="center"/>
            <w:shd w:fill="F2F4F5"/>
            <w:tcMar>
              <w:top w:w="90" w:type="dxa"/>
              <w:start w:w="100" w:type="dxa"/>
              <w:bottom w:w="90" w:type="dxa"/>
              <w:end w:w="100" w:type="dxa"/>
            </w:tcMar>
          </w:tcPr>
          <w:p>
            <w:pPr>
              <w:spacing w:after="30" w:line="259" w:lineRule="auto"/>
            </w:pPr>
            <w:r>
              <w:rPr>
                <w:rFonts w:ascii="Arial" w:hAnsi="Arial"/>
                <w:sz w:val="17"/>
              </w:rPr>
              <w:t>Vollständigkeit und Wertermittlung</w:t>
            </w:r>
          </w:p>
        </w:tc>
      </w:tr>
      <w:tr>
        <w:tc>
          <w:tcPr>
            <w:tcW w:type="dxa" w:w="1250"/>
            <w:vAlign w:val="center"/>
            <w:tcMar>
              <w:top w:w="90" w:type="dxa"/>
              <w:start w:w="100" w:type="dxa"/>
              <w:bottom w:w="90" w:type="dxa"/>
              <w:end w:w="100" w:type="dxa"/>
            </w:tcMar>
          </w:tcPr>
          <w:p>
            <w:pPr>
              <w:spacing w:after="30" w:line="259" w:lineRule="auto"/>
            </w:pPr>
            <w:r>
              <w:rPr>
                <w:rFonts w:ascii="Arial" w:hAnsi="Arial"/>
                <w:sz w:val="17"/>
              </w:rPr>
              <w:t>25.06.2026</w:t>
            </w:r>
          </w:p>
        </w:tc>
        <w:tc>
          <w:tcPr>
            <w:tcW w:type="dxa" w:w="2750"/>
            <w:vAlign w:val="center"/>
            <w:tcMar>
              <w:top w:w="90" w:type="dxa"/>
              <w:start w:w="100" w:type="dxa"/>
              <w:bottom w:w="90" w:type="dxa"/>
              <w:end w:w="100" w:type="dxa"/>
            </w:tcMar>
          </w:tcPr>
          <w:p>
            <w:pPr>
              <w:spacing w:after="30" w:line="259" w:lineRule="auto"/>
            </w:pPr>
            <w:r>
              <w:rPr>
                <w:rFonts w:ascii="Arial" w:hAnsi="Arial"/>
                <w:sz w:val="17"/>
              </w:rPr>
              <w:t>Auskunftsverlangen Anja</w:t>
            </w:r>
          </w:p>
        </w:tc>
        <w:tc>
          <w:tcPr>
            <w:tcW w:type="dxa" w:w="2500"/>
            <w:vAlign w:val="center"/>
            <w:tcMar>
              <w:top w:w="90" w:type="dxa"/>
              <w:start w:w="100" w:type="dxa"/>
              <w:bottom w:w="90" w:type="dxa"/>
              <w:end w:w="100" w:type="dxa"/>
            </w:tcMar>
          </w:tcPr>
          <w:p>
            <w:pPr>
              <w:spacing w:after="30" w:line="259" w:lineRule="auto"/>
            </w:pPr>
            <w:r>
              <w:rPr>
                <w:rFonts w:ascii="Arial" w:hAnsi="Arial"/>
                <w:sz w:val="17"/>
              </w:rPr>
              <w:t>Schreiben Voranwalt</w:t>
            </w:r>
          </w:p>
        </w:tc>
        <w:tc>
          <w:tcPr>
            <w:tcW w:type="dxa" w:w="3100"/>
            <w:vAlign w:val="center"/>
            <w:tcMar>
              <w:top w:w="90" w:type="dxa"/>
              <w:start w:w="100" w:type="dxa"/>
              <w:bottom w:w="90" w:type="dxa"/>
              <w:end w:w="100" w:type="dxa"/>
            </w:tcMar>
          </w:tcPr>
          <w:p>
            <w:pPr>
              <w:spacing w:after="30" w:line="259" w:lineRule="auto"/>
            </w:pPr>
            <w:r>
              <w:rPr>
                <w:rFonts w:ascii="Arial" w:hAnsi="Arial"/>
                <w:sz w:val="17"/>
              </w:rPr>
              <w:t>Zugangsnachweis</w:t>
            </w:r>
          </w:p>
        </w:tc>
      </w:tr>
      <w:tr>
        <w:tc>
          <w:tcPr>
            <w:tcW w:type="dxa" w:w="1250"/>
            <w:vAlign w:val="center"/>
            <w:shd w:fill="F2F4F5"/>
            <w:tcMar>
              <w:top w:w="90" w:type="dxa"/>
              <w:start w:w="100" w:type="dxa"/>
              <w:bottom w:w="90" w:type="dxa"/>
              <w:end w:w="100" w:type="dxa"/>
            </w:tcMar>
          </w:tcPr>
          <w:p>
            <w:pPr>
              <w:spacing w:after="30" w:line="259" w:lineRule="auto"/>
            </w:pPr>
            <w:r>
              <w:rPr>
                <w:rFonts w:ascii="Arial" w:hAnsi="Arial"/>
                <w:sz w:val="17"/>
              </w:rPr>
              <w:t>29.06.2026</w:t>
            </w:r>
          </w:p>
        </w:tc>
        <w:tc>
          <w:tcPr>
            <w:tcW w:type="dxa" w:w="2750"/>
            <w:vAlign w:val="center"/>
            <w:shd w:fill="F2F4F5"/>
            <w:tcMar>
              <w:top w:w="90" w:type="dxa"/>
              <w:start w:w="100" w:type="dxa"/>
              <w:bottom w:w="90" w:type="dxa"/>
              <w:end w:w="100" w:type="dxa"/>
            </w:tcMar>
          </w:tcPr>
          <w:p>
            <w:pPr>
              <w:spacing w:after="30" w:line="259" w:lineRule="auto"/>
            </w:pPr>
            <w:r>
              <w:rPr>
                <w:rFonts w:ascii="Arial" w:hAnsi="Arial"/>
                <w:sz w:val="17"/>
              </w:rPr>
              <w:t>Mandatsübernahme</w:t>
            </w:r>
          </w:p>
        </w:tc>
        <w:tc>
          <w:tcPr>
            <w:tcW w:type="dxa" w:w="2500"/>
            <w:vAlign w:val="center"/>
            <w:shd w:fill="F2F4F5"/>
            <w:tcMar>
              <w:top w:w="90" w:type="dxa"/>
              <w:start w:w="100" w:type="dxa"/>
              <w:bottom w:w="90" w:type="dxa"/>
              <w:end w:w="100" w:type="dxa"/>
            </w:tcMar>
          </w:tcPr>
          <w:p>
            <w:pPr>
              <w:spacing w:after="30" w:line="259" w:lineRule="auto"/>
            </w:pPr>
            <w:r>
              <w:t>Kanzleiakte</w:t>
            </w:r>
          </w:p>
        </w:tc>
        <w:tc>
          <w:tcPr>
            <w:tcW w:type="dxa" w:w="3100"/>
            <w:vAlign w:val="center"/>
            <w:shd w:fill="F2F4F5"/>
            <w:tcMar>
              <w:top w:w="90" w:type="dxa"/>
              <w:start w:w="100" w:type="dxa"/>
              <w:bottom w:w="90" w:type="dxa"/>
              <w:end w:w="100" w:type="dxa"/>
            </w:tcMar>
          </w:tcPr>
          <w:p>
            <w:pPr>
              <w:spacing w:after="30" w:line="259" w:lineRule="auto"/>
            </w:pPr>
            <w:r>
              <w:rPr>
                <w:rFonts w:ascii="Arial" w:hAnsi="Arial"/>
                <w:sz w:val="17"/>
              </w:rPr>
              <w:t>Fristen und Anspruchsgegner</w:t>
            </w:r>
          </w:p>
        </w:tc>
      </w:tr>
    </w:tbl>
    <w:p>
      <w:pPr>
        <w:widowControl/>
        <w:spacing w:after="0"/>
      </w:pPr>
    </w:p>
    <w:p>
      <w:pPr>
        <w:pStyle w:val="Heading1"/>
        <w:widowControl/>
      </w:pPr>
      <w:r>
        <w:rPr>
          <w:rFonts w:ascii="Arial" w:hAnsi="Arial" w:eastAsia="Arial"/>
        </w:rPr>
        <w:t>2. Arbeitshypothesen ohne Vorfestlegung</w:t>
      </w:r>
    </w:p>
    <w:p>
      <w:pPr>
        <w:widowControl/>
        <w:jc w:val="both"/>
      </w:pPr>
      <w:r>
        <w:rPr>
          <w:rFonts w:ascii="Arial" w:hAnsi="Arial" w:eastAsia="Arial"/>
        </w:rPr>
        <w:t>Für das Grundstück ist nicht nur der Urkundentext, sondern die tatsächlich praktizierte Nutzungs- und Lastenverteilung zu rekonstruieren. Beim Depot sind Übertragung, weitere Erträge, etwaige Rückübertragungsrechte und der Zahlungsweg auseinanderzuhalten. Pflege- und Investitionsaufwand ist nach Datum, Zahlendem, Rechtsgrund und möglicher Gegenleistung zu prüfen; eine pauschale Verrechnung unterbleibt.</w:t>
      </w:r>
    </w:p>
    <w:p>
      <w:pPr>
        <w:pStyle w:val="Heading1"/>
        <w:widowControl/>
      </w:pPr>
      <w:r>
        <w:rPr>
          <w:rFonts w:ascii="Arial" w:hAnsi="Arial" w:eastAsia="Arial"/>
        </w:rPr>
        <w:t>3. Kontrollpunkte der Zeitachse</w:t>
      </w:r>
    </w:p>
    <w:p>
      <w:pPr>
        <w:keepLines w:val="0"/>
        <w:widowControl/>
      </w:pPr>
      <w:r>
        <w:rPr>
          <w:rFonts w:ascii="Arial" w:hAnsi="Arial" w:eastAsia="Arial"/>
        </w:rPr>
        <w:t>Der Erbfall ist durchgehend der 14.01.2026. Die Grundstücksübertragung datiert vom 03.02.2018, die Eigentumsumschreibung vom 19.04.2018 und der Depotübertrag vom 18.09.2021. Abweichende Daten aus einer älteren Arbeitsliste wurden nicht übernommen.</w:t>
      </w:r>
    </w:p>
    <w:p>
      <w:pPr>
        <w:keepLines w:val="0"/>
        <w:widowControl/>
      </w:pPr>
      <w:r>
        <w:rPr>
          <w:rFonts w:ascii="Arial" w:hAnsi="Arial" w:eastAsia="Arial"/>
        </w:rPr>
        <w:t>Für jede behauptete Gegenleistung wird geprüft, ob sie vor oder nach der Übertragung anfiel, wer zahlte und welchem Gebäudeteil sie diente. Bei Depotzahlungen werden Bankbuchung, Ausschüttung und freiwillige Unterstützungsleistung sprachlich getrennt.</w:t>
      </w:r>
    </w:p>
    <w:sectPr w:rsidR="00FC693F" w:rsidRPr="0006063C" w:rsidSect="00034616">
      <w:headerReference w:type="default" r:id="rId9"/>
      <w:footerReference w:type="default" r:id="rId10"/>
      <w:pgSz w:w="11906" w:h="16838"/>
      <w:pgMar w:top="1162" w:right="1219" w:bottom="1162"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60"/>
      <w:jc w:val="left"/>
    </w:pPr>
    <w:r>
      <w:rPr>
        <w:rFonts w:ascii="Times New Roman" w:hAnsi="Times New Roman"/>
        <w:color w:val="6B6B66"/>
        <w:sz w:val="16"/>
      </w:rPr>
    </w:r>
    <w:r>
      <w:rPr>
        <w:rFonts w:ascii="Times New Roman" w:hAnsi="Times New Roman"/>
        <w:color w:val="6B6B66"/>
        <w:sz w:val="16"/>
      </w:rPr>
      <w:t>Petersen &amp; Hagedorn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jc w:val="left"/>
    </w:pPr>
    <w:r/>
    <w:r>
      <w:rPr>
        <w:rFonts w:ascii="Times New Roman" w:hAnsi="Times New Roman"/>
        <w:b/>
        <w:color w:val="3B3F45"/>
        <w:sz w:val="22"/>
      </w:rPr>
      <w:t>PETERSEN &amp; HAGEDORN RECHTSANWÄLTE</w:t>
    </w: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p>
    <w:pPr>
      <w:jc w:val="left"/>
      <w:pBdr>
        <w:bottom w:val="single" w:sz="8" w:space="2" w:color="3B3F45"/>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und Belegstatus</dc:title>
  <dc:subject>PMH/26-184 AM</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