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ARBEITSCHRONOLOGIE</w:t>
      </w:r>
    </w:p>
    <w:p>
      <w:pPr>
        <w:widowControl/>
        <w:spacing w:after="40"/>
      </w:pPr>
      <w:r>
        <w:rPr>
          <w:rFonts w:ascii="Arial" w:hAnsi="Arial" w:eastAsia="Arial"/>
          <w:b/>
          <w:sz w:val="25"/>
        </w:rPr>
        <w:t>Kanzlei Steinbrück Partnerschaft</w:t>
      </w:r>
    </w:p>
    <w:p>
      <w:pPr>
        <w:widowControl/>
        <w:spacing w:after="200"/>
      </w:pPr>
      <w:r>
        <w:rPr>
          <w:rFonts w:ascii="Arial" w:hAnsi="Arial" w:eastAsia="Arial"/>
          <w:color w:val="586069"/>
          <w:sz w:val="17"/>
        </w:rPr>
        <w:t>Erbrecht und Gesellschaftsrecht | Theaterstraße 9 | 97070 Würzburg | Telefon 0931 705580</w:t>
      </w:r>
    </w:p>
    <w:p>
      <w:pPr>
        <w:widowControl/>
        <w:spacing w:after="160"/>
      </w:pPr>
      <w:r>
        <w:rPr>
          <w:rFonts w:ascii="Arial" w:hAnsi="Arial" w:eastAsia="Arial"/>
        </w:rPr>
        <w:t>Intern - elektronische Handakte</w:t>
      </w:r>
    </w:p>
    <w:p>
      <w:pPr>
        <w:widowControl/>
        <w:spacing w:after="80"/>
      </w:pPr>
      <w:r>
        <w:rPr>
          <w:rFonts w:ascii="Arial" w:hAnsi="Arial" w:eastAsia="Arial"/>
          <w:color w:val="586069"/>
          <w:sz w:val="18"/>
        </w:rPr>
        <w:t>Datum: 06.05.2026  |  Zeichen: SP/26-309 MB</w:t>
      </w:r>
    </w:p>
    <w:p>
      <w:pPr>
        <w:pStyle w:val="Title"/>
        <w:widowControl/>
      </w:pPr>
      <w:r>
        <w:rPr>
          <w:rFonts w:ascii="Arial" w:hAnsi="Arial" w:eastAsia="Arial"/>
        </w:rPr>
        <w:t>Chronologie und Vollzugsstatus</w:t>
      </w:r>
    </w:p>
    <w:p>
      <w:pPr>
        <w:widowControl/>
        <w:jc w:val="both"/>
      </w:pPr>
      <w:r>
        <w:rPr>
          <w:rFonts w:ascii="Arial" w:hAnsi="Arial" w:eastAsia="Arial"/>
        </w:rPr>
        <w:t>Die Zeitachse trennt Erbfall, gesellschaftsrechtlichen Vollzug, Bankanforderungen und Pflichtteilsverlangen. Ein Eintrag ersetzt keine Prüfung des jeweiligen Originals.</w:t>
      </w:r>
    </w:p>
    <w:p>
      <w:pPr>
        <w:pStyle w:val="Heading1"/>
        <w:widowControl/>
      </w:pPr>
      <w:r>
        <w:rPr>
          <w:rFonts w:ascii="Arial" w:hAnsi="Arial" w:eastAsia="Arial"/>
        </w:rPr>
        <w:t>1. Zeitachse</w:t>
      </w:r>
    </w:p>
    <w:tbl>
      <w:tblPr>
        <w:tblStyle w:val="TableGrid"/>
        <w:tblW w:type="dxa" w:w="9600"/>
        <w:tblLayout w:type="autofit"/>
        <w:tblLook w:firstColumn="1" w:firstRow="1" w:lastColumn="0" w:lastRow="0" w:noHBand="0" w:noVBand="1" w:val="04A0"/>
        <w:jc w:val="center"/>
        <w:tblInd w:w="120" w:type="dxa"/>
      </w:tblPr>
      <w:tblGrid>
        <w:gridCol w:w="1500"/>
        <w:gridCol w:w="2850"/>
        <w:gridCol w:w="2650"/>
        <w:gridCol w:w="2600"/>
      </w:tblGrid>
      <w:tr>
        <w:trPr>
          <w:tblHeader w:val="true"/>
          <w:tblHeader w:val="true"/>
          <w:tblHeader w:val="true"/>
          <w:tblHeader w:val="true"/>
          <w:tblHeader w:val="true"/>
          <w:tblHeader w:val="true"/>
        </w:trPr>
        <w:tc>
          <w:tcPr>
            <w:tcW w:type="dxa" w:w="1500"/>
            <w:vAlign w:val="center"/>
            <w:shd w:fill="17324D"/>
            <w:tcMar>
              <w:top w:w="90" w:type="dxa"/>
              <w:start w:w="100" w:type="dxa"/>
              <w:bottom w:w="90" w:type="dxa"/>
              <w:end w:w="100" w:type="dxa"/>
            </w:tcMar>
          </w:tcPr>
          <w:p>
            <w:pPr>
              <w:spacing w:after="30"/>
            </w:pPr>
            <w:r>
              <w:rPr>
                <w:rFonts w:ascii="Arial" w:hAnsi="Arial"/>
                <w:b/>
                <w:color w:val="FFFFFF"/>
                <w:sz w:val="17"/>
              </w:rPr>
              <w:t>Datum</w:t>
            </w:r>
          </w:p>
        </w:tc>
        <w:tc>
          <w:tcPr>
            <w:tcW w:type="dxa" w:w="2850"/>
            <w:vAlign w:val="center"/>
            <w:shd w:fill="17324D"/>
            <w:tcMar>
              <w:top w:w="90" w:type="dxa"/>
              <w:start w:w="100" w:type="dxa"/>
              <w:bottom w:w="90" w:type="dxa"/>
              <w:end w:w="100" w:type="dxa"/>
            </w:tcMar>
          </w:tcPr>
          <w:p>
            <w:pPr>
              <w:spacing w:after="30"/>
            </w:pPr>
            <w:r>
              <w:rPr>
                <w:rFonts w:ascii="Arial" w:hAnsi="Arial"/>
                <w:b/>
                <w:color w:val="FFFFFF"/>
                <w:sz w:val="17"/>
              </w:rPr>
              <w:t>Vorgang</w:t>
            </w:r>
          </w:p>
        </w:tc>
        <w:tc>
          <w:tcPr>
            <w:tcW w:type="dxa" w:w="2650"/>
            <w:vAlign w:val="center"/>
            <w:shd w:fill="17324D"/>
            <w:tcMar>
              <w:top w:w="90" w:type="dxa"/>
              <w:start w:w="100" w:type="dxa"/>
              <w:bottom w:w="90" w:type="dxa"/>
              <w:end w:w="100" w:type="dxa"/>
            </w:tcMar>
          </w:tcPr>
          <w:p>
            <w:pPr>
              <w:spacing w:after="30"/>
            </w:pPr>
            <w:r>
              <w:rPr>
                <w:rFonts w:ascii="Arial" w:hAnsi="Arial"/>
                <w:b/>
                <w:color w:val="FFFFFF"/>
                <w:sz w:val="17"/>
              </w:rPr>
              <w:t>Dokument</w:t>
            </w:r>
          </w:p>
        </w:tc>
        <w:tc>
          <w:tcPr>
            <w:tcW w:type="dxa" w:w="2600"/>
            <w:vAlign w:val="center"/>
            <w:shd w:fill="17324D"/>
            <w:tcMar>
              <w:top w:w="90" w:type="dxa"/>
              <w:start w:w="100" w:type="dxa"/>
              <w:bottom w:w="90" w:type="dxa"/>
              <w:end w:w="100" w:type="dxa"/>
            </w:tcMar>
          </w:tcPr>
          <w:p>
            <w:pPr>
              <w:spacing w:after="30"/>
            </w:pPr>
            <w:r>
              <w:rPr>
                <w:rFonts w:ascii="Arial" w:hAnsi="Arial"/>
                <w:b/>
                <w:color w:val="FFFFFF"/>
                <w:sz w:val="17"/>
              </w:rPr>
              <w:t>Arbeitsstand</w:t>
            </w:r>
          </w:p>
        </w:tc>
      </w:tr>
      <w:tr>
        <w:tc>
          <w:tcPr>
            <w:tcW w:type="dxa" w:w="1500"/>
            <w:vAlign w:val="center"/>
            <w:tcMar>
              <w:top w:w="90" w:type="dxa"/>
              <w:start w:w="100" w:type="dxa"/>
              <w:bottom w:w="90" w:type="dxa"/>
              <w:end w:w="100" w:type="dxa"/>
            </w:tcMar>
          </w:tcPr>
          <w:p>
            <w:pPr>
              <w:spacing w:after="30" w:line="259" w:lineRule="auto"/>
            </w:pPr>
            <w:r>
              <w:rPr>
                <w:rFonts w:ascii="Arial" w:hAnsi="Arial"/>
                <w:sz w:val="17"/>
              </w:rPr>
              <w:t>19.09.2022</w:t>
            </w:r>
          </w:p>
        </w:tc>
        <w:tc>
          <w:tcPr>
            <w:tcW w:type="dxa" w:w="2850"/>
            <w:vAlign w:val="center"/>
            <w:tcMar>
              <w:top w:w="90" w:type="dxa"/>
              <w:start w:w="100" w:type="dxa"/>
              <w:bottom w:w="90" w:type="dxa"/>
              <w:end w:w="100" w:type="dxa"/>
            </w:tcMar>
          </w:tcPr>
          <w:p>
            <w:pPr>
              <w:spacing w:after="30" w:line="259" w:lineRule="auto"/>
            </w:pPr>
            <w:r>
              <w:rPr>
                <w:rFonts w:ascii="Arial" w:hAnsi="Arial"/>
                <w:sz w:val="17"/>
              </w:rPr>
              <w:t>Unternehmertestament</w:t>
            </w:r>
          </w:p>
        </w:tc>
        <w:tc>
          <w:tcPr>
            <w:tcW w:type="dxa" w:w="2650"/>
            <w:vAlign w:val="center"/>
            <w:tcMar>
              <w:top w:w="90" w:type="dxa"/>
              <w:start w:w="100" w:type="dxa"/>
              <w:bottom w:w="90" w:type="dxa"/>
              <w:end w:w="100" w:type="dxa"/>
            </w:tcMar>
          </w:tcPr>
          <w:p>
            <w:pPr>
              <w:spacing w:after="30" w:line="259" w:lineRule="auto"/>
            </w:pPr>
            <w:r>
              <w:rPr>
                <w:rFonts w:ascii="Arial" w:hAnsi="Arial"/>
                <w:sz w:val="17"/>
              </w:rPr>
              <w:t>notarielle Verwahrung 7 IV 418/22</w:t>
            </w:r>
          </w:p>
        </w:tc>
        <w:tc>
          <w:tcPr>
            <w:tcW w:type="dxa" w:w="2600"/>
            <w:vAlign w:val="center"/>
            <w:tcMar>
              <w:top w:w="90" w:type="dxa"/>
              <w:start w:w="100" w:type="dxa"/>
              <w:bottom w:w="90" w:type="dxa"/>
              <w:end w:w="100" w:type="dxa"/>
            </w:tcMar>
          </w:tcPr>
          <w:p>
            <w:pPr>
              <w:spacing w:after="30" w:line="259" w:lineRule="auto"/>
            </w:pPr>
            <w:r>
              <w:rPr>
                <w:rFonts w:ascii="Arial" w:hAnsi="Arial"/>
                <w:sz w:val="17"/>
              </w:rPr>
              <w:t>Ausfertigung liegt vor</w:t>
            </w:r>
          </w:p>
        </w:tc>
      </w:tr>
      <w:tr>
        <w:tc>
          <w:tcPr>
            <w:tcW w:type="dxa" w:w="1500"/>
            <w:vAlign w:val="center"/>
            <w:shd w:fill="F2F4F5"/>
            <w:tcMar>
              <w:top w:w="90" w:type="dxa"/>
              <w:start w:w="100" w:type="dxa"/>
              <w:bottom w:w="90" w:type="dxa"/>
              <w:end w:w="100" w:type="dxa"/>
            </w:tcMar>
          </w:tcPr>
          <w:p>
            <w:pPr>
              <w:spacing w:after="30" w:line="259" w:lineRule="auto"/>
            </w:pPr>
            <w:r>
              <w:rPr>
                <w:rFonts w:ascii="Arial" w:hAnsi="Arial"/>
                <w:sz w:val="17"/>
              </w:rPr>
              <w:t>15.02.2024</w:t>
            </w:r>
          </w:p>
        </w:tc>
        <w:tc>
          <w:tcPr>
            <w:tcW w:type="dxa" w:w="2850"/>
            <w:vAlign w:val="center"/>
            <w:shd w:fill="F2F4F5"/>
            <w:tcMar>
              <w:top w:w="90" w:type="dxa"/>
              <w:start w:w="100" w:type="dxa"/>
              <w:bottom w:w="90" w:type="dxa"/>
              <w:end w:w="100" w:type="dxa"/>
            </w:tcMar>
          </w:tcPr>
          <w:p>
            <w:pPr>
              <w:spacing w:after="30" w:line="259" w:lineRule="auto"/>
            </w:pPr>
            <w:r>
              <w:rPr>
                <w:rFonts w:ascii="Arial" w:hAnsi="Arial"/>
                <w:sz w:val="17"/>
              </w:rPr>
              <w:t>Kreditrahmen Mainfranken Bank</w:t>
            </w:r>
          </w:p>
        </w:tc>
        <w:tc>
          <w:tcPr>
            <w:tcW w:type="dxa" w:w="2650"/>
            <w:vAlign w:val="center"/>
            <w:shd w:fill="F2F4F5"/>
            <w:tcMar>
              <w:top w:w="90" w:type="dxa"/>
              <w:start w:w="100" w:type="dxa"/>
              <w:bottom w:w="90" w:type="dxa"/>
              <w:end w:w="100" w:type="dxa"/>
            </w:tcMar>
          </w:tcPr>
          <w:p>
            <w:pPr>
              <w:spacing w:after="30" w:line="259" w:lineRule="auto"/>
            </w:pPr>
            <w:r>
              <w:rPr>
                <w:rFonts w:ascii="Arial" w:hAnsi="Arial"/>
                <w:sz w:val="17"/>
              </w:rPr>
              <w:t>Vertrag MF-44719</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Kontrollwechselklausel prüfen</w:t>
            </w:r>
          </w:p>
        </w:tc>
      </w:tr>
      <w:tr>
        <w:tc>
          <w:tcPr>
            <w:tcW w:type="dxa" w:w="1500"/>
            <w:vAlign w:val="center"/>
            <w:tcMar>
              <w:top w:w="90" w:type="dxa"/>
              <w:start w:w="100" w:type="dxa"/>
              <w:bottom w:w="90" w:type="dxa"/>
              <w:end w:w="100" w:type="dxa"/>
            </w:tcMar>
          </w:tcPr>
          <w:p>
            <w:pPr>
              <w:spacing w:after="30" w:line="259" w:lineRule="auto"/>
            </w:pPr>
            <w:r>
              <w:rPr>
                <w:rFonts w:ascii="Arial" w:hAnsi="Arial"/>
                <w:sz w:val="17"/>
              </w:rPr>
              <w:t>11.04.2026</w:t>
            </w:r>
          </w:p>
        </w:tc>
        <w:tc>
          <w:tcPr>
            <w:tcW w:type="dxa" w:w="2850"/>
            <w:vAlign w:val="center"/>
            <w:tcMar>
              <w:top w:w="90" w:type="dxa"/>
              <w:start w:w="100" w:type="dxa"/>
              <w:bottom w:w="90" w:type="dxa"/>
              <w:end w:w="100" w:type="dxa"/>
            </w:tcMar>
          </w:tcPr>
          <w:p>
            <w:pPr>
              <w:spacing w:after="30" w:line="259" w:lineRule="auto"/>
            </w:pPr>
            <w:r>
              <w:rPr>
                <w:rFonts w:ascii="Arial" w:hAnsi="Arial"/>
                <w:sz w:val="17"/>
              </w:rPr>
              <w:t>Tod Heinrich Baumann</w:t>
            </w:r>
          </w:p>
        </w:tc>
        <w:tc>
          <w:tcPr>
            <w:tcW w:type="dxa" w:w="2650"/>
            <w:vAlign w:val="center"/>
            <w:tcMar>
              <w:top w:w="90" w:type="dxa"/>
              <w:start w:w="100" w:type="dxa"/>
              <w:bottom w:w="90" w:type="dxa"/>
              <w:end w:w="100" w:type="dxa"/>
            </w:tcMar>
          </w:tcPr>
          <w:p>
            <w:pPr>
              <w:spacing w:after="30" w:line="259" w:lineRule="auto"/>
            </w:pPr>
            <w:r>
              <w:rPr>
                <w:rFonts w:ascii="Arial" w:hAnsi="Arial"/>
                <w:sz w:val="17"/>
              </w:rPr>
              <w:t>Sterbeurkunde</w:t>
            </w:r>
          </w:p>
        </w:tc>
        <w:tc>
          <w:tcPr>
            <w:tcW w:type="dxa" w:w="2600"/>
            <w:vAlign w:val="center"/>
            <w:tcMar>
              <w:top w:w="90" w:type="dxa"/>
              <w:start w:w="100" w:type="dxa"/>
              <w:bottom w:w="90" w:type="dxa"/>
              <w:end w:w="100" w:type="dxa"/>
            </w:tcMar>
          </w:tcPr>
          <w:p>
            <w:pPr>
              <w:spacing w:after="30" w:line="259" w:lineRule="auto"/>
            </w:pPr>
            <w:r>
              <w:rPr>
                <w:rFonts w:ascii="Arial" w:hAnsi="Arial"/>
                <w:sz w:val="17"/>
              </w:rPr>
              <w:t>unstreitig</w:t>
            </w:r>
          </w:p>
        </w:tc>
      </w:tr>
      <w:tr>
        <w:tc>
          <w:tcPr>
            <w:tcW w:type="dxa" w:w="1500"/>
            <w:vAlign w:val="center"/>
            <w:shd w:fill="F2F4F5"/>
            <w:tcMar>
              <w:top w:w="90" w:type="dxa"/>
              <w:start w:w="100" w:type="dxa"/>
              <w:bottom w:w="90" w:type="dxa"/>
              <w:end w:w="100" w:type="dxa"/>
            </w:tcMar>
          </w:tcPr>
          <w:p>
            <w:pPr>
              <w:spacing w:after="30" w:line="259" w:lineRule="auto"/>
            </w:pPr>
            <w:r>
              <w:rPr>
                <w:rFonts w:ascii="Arial" w:hAnsi="Arial"/>
                <w:sz w:val="17"/>
              </w:rPr>
              <w:t>15.04.2026</w:t>
            </w:r>
          </w:p>
        </w:tc>
        <w:tc>
          <w:tcPr>
            <w:tcW w:type="dxa" w:w="2850"/>
            <w:vAlign w:val="center"/>
            <w:shd w:fill="F2F4F5"/>
            <w:tcMar>
              <w:top w:w="90" w:type="dxa"/>
              <w:start w:w="100" w:type="dxa"/>
              <w:bottom w:w="90" w:type="dxa"/>
              <w:end w:w="100" w:type="dxa"/>
            </w:tcMar>
          </w:tcPr>
          <w:p>
            <w:pPr>
              <w:spacing w:after="30" w:line="259" w:lineRule="auto"/>
            </w:pPr>
            <w:r>
              <w:rPr>
                <w:rFonts w:ascii="Arial" w:hAnsi="Arial"/>
                <w:sz w:val="17"/>
              </w:rPr>
              <w:t>Testamentseröffnung</w:t>
            </w:r>
          </w:p>
        </w:tc>
        <w:tc>
          <w:tcPr>
            <w:tcW w:type="dxa" w:w="2650"/>
            <w:vAlign w:val="center"/>
            <w:shd w:fill="F2F4F5"/>
            <w:tcMar>
              <w:top w:w="90" w:type="dxa"/>
              <w:start w:w="100" w:type="dxa"/>
              <w:bottom w:w="90" w:type="dxa"/>
              <w:end w:w="100" w:type="dxa"/>
            </w:tcMar>
          </w:tcPr>
          <w:p>
            <w:pPr>
              <w:spacing w:after="30" w:line="259" w:lineRule="auto"/>
            </w:pPr>
            <w:r>
              <w:rPr>
                <w:rFonts w:ascii="Arial" w:hAnsi="Arial"/>
                <w:sz w:val="17"/>
              </w:rPr>
              <w:t>Niederschrift 4 VI 501/26</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Zustellung an Beteiligte</w:t>
            </w:r>
          </w:p>
        </w:tc>
      </w:tr>
      <w:tr>
        <w:tc>
          <w:tcPr>
            <w:tcW w:type="dxa" w:w="1500"/>
            <w:vAlign w:val="center"/>
            <w:tcMar>
              <w:top w:w="90" w:type="dxa"/>
              <w:start w:w="100" w:type="dxa"/>
              <w:bottom w:w="90" w:type="dxa"/>
              <w:end w:w="100" w:type="dxa"/>
            </w:tcMar>
          </w:tcPr>
          <w:p>
            <w:pPr>
              <w:spacing w:after="30" w:line="259" w:lineRule="auto"/>
            </w:pPr>
            <w:r>
              <w:rPr>
                <w:rFonts w:ascii="Arial" w:hAnsi="Arial"/>
                <w:sz w:val="17"/>
              </w:rPr>
              <w:t>18.04.2026</w:t>
            </w:r>
          </w:p>
        </w:tc>
        <w:tc>
          <w:tcPr>
            <w:tcW w:type="dxa" w:w="2850"/>
            <w:vAlign w:val="center"/>
            <w:tcMar>
              <w:top w:w="90" w:type="dxa"/>
              <w:start w:w="100" w:type="dxa"/>
              <w:bottom w:w="90" w:type="dxa"/>
              <w:end w:w="100" w:type="dxa"/>
            </w:tcMar>
          </w:tcPr>
          <w:p>
            <w:pPr>
              <w:spacing w:after="30" w:line="259" w:lineRule="auto"/>
            </w:pPr>
            <w:r>
              <w:rPr>
                <w:rFonts w:ascii="Arial" w:hAnsi="Arial"/>
                <w:sz w:val="17"/>
              </w:rPr>
              <w:t>Lehnert nimmt Amt an</w:t>
            </w:r>
          </w:p>
        </w:tc>
        <w:tc>
          <w:tcPr>
            <w:tcW w:type="dxa" w:w="2650"/>
            <w:vAlign w:val="center"/>
            <w:tcMar>
              <w:top w:w="90" w:type="dxa"/>
              <w:start w:w="100" w:type="dxa"/>
              <w:bottom w:w="90" w:type="dxa"/>
              <w:end w:w="100" w:type="dxa"/>
            </w:tcMar>
          </w:tcPr>
          <w:p>
            <w:pPr>
              <w:spacing w:after="30" w:line="259" w:lineRule="auto"/>
            </w:pPr>
            <w:r>
              <w:rPr>
                <w:rFonts w:ascii="Arial" w:hAnsi="Arial"/>
                <w:sz w:val="17"/>
              </w:rPr>
              <w:t>Annahmeerklärung</w:t>
            </w:r>
          </w:p>
        </w:tc>
        <w:tc>
          <w:tcPr>
            <w:tcW w:type="dxa" w:w="2600"/>
            <w:vAlign w:val="center"/>
            <w:tcMar>
              <w:top w:w="90" w:type="dxa"/>
              <w:start w:w="100" w:type="dxa"/>
              <w:bottom w:w="90" w:type="dxa"/>
              <w:end w:w="100" w:type="dxa"/>
            </w:tcMar>
          </w:tcPr>
          <w:p>
            <w:pPr>
              <w:spacing w:after="30" w:line="259" w:lineRule="auto"/>
            </w:pPr>
            <w:r>
              <w:rPr>
                <w:rFonts w:ascii="Arial" w:hAnsi="Arial"/>
                <w:sz w:val="17"/>
              </w:rPr>
              <w:t>Zeugnis beantragt</w:t>
            </w:r>
          </w:p>
        </w:tc>
      </w:tr>
      <w:tr>
        <w:tc>
          <w:tcPr>
            <w:tcW w:type="dxa" w:w="1500"/>
            <w:vAlign w:val="center"/>
            <w:shd w:fill="F2F4F5"/>
            <w:tcMar>
              <w:top w:w="90" w:type="dxa"/>
              <w:start w:w="100" w:type="dxa"/>
              <w:bottom w:w="90" w:type="dxa"/>
              <w:end w:w="100" w:type="dxa"/>
            </w:tcMar>
          </w:tcPr>
          <w:p>
            <w:pPr>
              <w:spacing w:after="30" w:line="259" w:lineRule="auto"/>
            </w:pPr>
            <w:r>
              <w:rPr>
                <w:rFonts w:ascii="Arial" w:hAnsi="Arial"/>
                <w:sz w:val="17"/>
              </w:rPr>
              <w:t>22.04.2026</w:t>
            </w:r>
          </w:p>
        </w:tc>
        <w:tc>
          <w:tcPr>
            <w:tcW w:type="dxa" w:w="2850"/>
            <w:vAlign w:val="center"/>
            <w:shd w:fill="F2F4F5"/>
            <w:tcMar>
              <w:top w:w="90" w:type="dxa"/>
              <w:start w:w="100" w:type="dxa"/>
              <w:bottom w:w="90" w:type="dxa"/>
              <w:end w:w="100" w:type="dxa"/>
            </w:tcMar>
          </w:tcPr>
          <w:p>
            <w:pPr>
              <w:spacing w:after="30" w:line="259" w:lineRule="auto"/>
            </w:pPr>
            <w:r>
              <w:rPr>
                <w:rFonts w:ascii="Arial" w:hAnsi="Arial"/>
                <w:sz w:val="17"/>
              </w:rPr>
              <w:t>Bank begrenzt Kreditlinie</w:t>
            </w:r>
          </w:p>
        </w:tc>
        <w:tc>
          <w:tcPr>
            <w:tcW w:type="dxa" w:w="2650"/>
            <w:vAlign w:val="center"/>
            <w:shd w:fill="F2F4F5"/>
            <w:tcMar>
              <w:top w:w="90" w:type="dxa"/>
              <w:start w:w="100" w:type="dxa"/>
              <w:bottom w:w="90" w:type="dxa"/>
              <w:end w:w="100" w:type="dxa"/>
            </w:tcMar>
          </w:tcPr>
          <w:p>
            <w:pPr>
              <w:spacing w:after="30" w:line="259" w:lineRule="auto"/>
            </w:pPr>
            <w:r>
              <w:rPr>
                <w:rFonts w:ascii="Arial" w:hAnsi="Arial"/>
                <w:sz w:val="17"/>
              </w:rPr>
              <w:t>Mail Kreditabteilung</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Frist 31.07.2026</w:t>
            </w:r>
          </w:p>
        </w:tc>
      </w:tr>
      <w:tr>
        <w:tc>
          <w:tcPr>
            <w:tcW w:type="dxa" w:w="1500"/>
            <w:vAlign w:val="center"/>
            <w:tcMar>
              <w:top w:w="90" w:type="dxa"/>
              <w:start w:w="100" w:type="dxa"/>
              <w:bottom w:w="90" w:type="dxa"/>
              <w:end w:w="100" w:type="dxa"/>
            </w:tcMar>
          </w:tcPr>
          <w:p>
            <w:pPr>
              <w:spacing w:after="30" w:line="259" w:lineRule="auto"/>
            </w:pPr>
            <w:r>
              <w:rPr>
                <w:rFonts w:ascii="Arial" w:hAnsi="Arial"/>
                <w:sz w:val="17"/>
              </w:rPr>
              <w:t>02.05.2026</w:t>
            </w:r>
          </w:p>
        </w:tc>
        <w:tc>
          <w:tcPr>
            <w:tcW w:type="dxa" w:w="2850"/>
            <w:vAlign w:val="center"/>
            <w:tcMar>
              <w:top w:w="90" w:type="dxa"/>
              <w:start w:w="100" w:type="dxa"/>
              <w:bottom w:w="90" w:type="dxa"/>
              <w:end w:w="100" w:type="dxa"/>
            </w:tcMar>
          </w:tcPr>
          <w:p>
            <w:pPr>
              <w:spacing w:after="30" w:line="259" w:lineRule="auto"/>
            </w:pPr>
            <w:r>
              <w:rPr>
                <w:rFonts w:ascii="Arial" w:hAnsi="Arial"/>
                <w:sz w:val="17"/>
              </w:rPr>
              <w:t>Tilo verlangt Pflichtteil</w:t>
            </w:r>
          </w:p>
        </w:tc>
        <w:tc>
          <w:tcPr>
            <w:tcW w:type="dxa" w:w="2650"/>
            <w:vAlign w:val="center"/>
            <w:tcMar>
              <w:top w:w="90" w:type="dxa"/>
              <w:start w:w="100" w:type="dxa"/>
              <w:bottom w:w="90" w:type="dxa"/>
              <w:end w:w="100" w:type="dxa"/>
            </w:tcMar>
          </w:tcPr>
          <w:p>
            <w:pPr>
              <w:spacing w:after="30" w:line="259" w:lineRule="auto"/>
            </w:pPr>
            <w:r>
              <w:rPr>
                <w:rFonts w:ascii="Arial" w:hAnsi="Arial"/>
                <w:sz w:val="17"/>
              </w:rPr>
              <w:t>Anwaltsschreiben</w:t>
            </w:r>
          </w:p>
        </w:tc>
        <w:tc>
          <w:tcPr>
            <w:tcW w:type="dxa" w:w="2600"/>
            <w:vAlign w:val="center"/>
            <w:tcMar>
              <w:top w:w="90" w:type="dxa"/>
              <w:start w:w="100" w:type="dxa"/>
              <w:bottom w:w="90" w:type="dxa"/>
              <w:end w:w="100" w:type="dxa"/>
            </w:tcMar>
          </w:tcPr>
          <w:p>
            <w:pPr>
              <w:spacing w:after="30" w:line="259" w:lineRule="auto"/>
            </w:pPr>
            <w:r>
              <w:rPr>
                <w:rFonts w:ascii="Arial" w:hAnsi="Arial"/>
                <w:sz w:val="17"/>
              </w:rPr>
              <w:t>Auskunft und Bewertung offen</w:t>
            </w:r>
          </w:p>
        </w:tc>
      </w:tr>
      <w:tr>
        <w:tc>
          <w:tcPr>
            <w:tcW w:type="dxa" w:w="1500"/>
            <w:vAlign w:val="center"/>
            <w:shd w:fill="F2F4F5"/>
            <w:tcMar>
              <w:top w:w="90" w:type="dxa"/>
              <w:start w:w="100" w:type="dxa"/>
              <w:bottom w:w="90" w:type="dxa"/>
              <w:end w:w="100" w:type="dxa"/>
            </w:tcMar>
          </w:tcPr>
          <w:p>
            <w:pPr>
              <w:spacing w:after="30" w:line="259" w:lineRule="auto"/>
            </w:pPr>
            <w:r>
              <w:rPr>
                <w:rFonts w:ascii="Arial" w:hAnsi="Arial"/>
                <w:sz w:val="17"/>
              </w:rPr>
              <w:t>04.05.2026</w:t>
            </w:r>
          </w:p>
        </w:tc>
        <w:tc>
          <w:tcPr>
            <w:tcW w:type="dxa" w:w="2850"/>
            <w:vAlign w:val="center"/>
            <w:shd w:fill="F2F4F5"/>
            <w:tcMar>
              <w:top w:w="90" w:type="dxa"/>
              <w:start w:w="100" w:type="dxa"/>
              <w:bottom w:w="90" w:type="dxa"/>
              <w:end w:w="100" w:type="dxa"/>
            </w:tcMar>
          </w:tcPr>
          <w:p>
            <w:pPr>
              <w:spacing w:after="30" w:line="259" w:lineRule="auto"/>
            </w:pPr>
            <w:r>
              <w:rPr>
                <w:rFonts w:ascii="Arial" w:hAnsi="Arial"/>
                <w:sz w:val="17"/>
              </w:rPr>
              <w:t>Mandat Mara</w:t>
            </w:r>
          </w:p>
        </w:tc>
        <w:tc>
          <w:tcPr>
            <w:tcW w:type="dxa" w:w="2650"/>
            <w:vAlign w:val="center"/>
            <w:shd w:fill="F2F4F5"/>
            <w:tcMar>
              <w:top w:w="90" w:type="dxa"/>
              <w:start w:w="100" w:type="dxa"/>
              <w:bottom w:w="90" w:type="dxa"/>
              <w:end w:w="100" w:type="dxa"/>
            </w:tcMar>
          </w:tcPr>
          <w:p>
            <w:pPr>
              <w:spacing w:after="30" w:line="259" w:lineRule="auto"/>
            </w:pPr>
            <w:r>
              <w:t>Kanzleiakte</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Konfliktprüfung GmbH</w:t>
            </w:r>
          </w:p>
        </w:tc>
      </w:tr>
      <w:tr>
        <w:tc>
          <w:tcPr>
            <w:tcW w:type="dxa" w:w="1500"/>
            <w:vAlign w:val="center"/>
            <w:tcMar>
              <w:top w:w="90" w:type="dxa"/>
              <w:start w:w="100" w:type="dxa"/>
              <w:bottom w:w="90" w:type="dxa"/>
              <w:end w:w="100" w:type="dxa"/>
            </w:tcMar>
          </w:tcPr>
          <w:p>
            <w:pPr>
              <w:spacing w:after="30" w:line="259" w:lineRule="auto"/>
            </w:pPr>
            <w:r>
              <w:rPr>
                <w:rFonts w:ascii="Arial" w:hAnsi="Arial"/>
                <w:sz w:val="17"/>
              </w:rPr>
              <w:t>18.05.2026</w:t>
            </w:r>
          </w:p>
        </w:tc>
        <w:tc>
          <w:tcPr>
            <w:tcW w:type="dxa" w:w="2850"/>
            <w:vAlign w:val="center"/>
            <w:tcMar>
              <w:top w:w="90" w:type="dxa"/>
              <w:start w:w="100" w:type="dxa"/>
              <w:bottom w:w="90" w:type="dxa"/>
              <w:end w:w="100" w:type="dxa"/>
            </w:tcMar>
          </w:tcPr>
          <w:p>
            <w:pPr>
              <w:spacing w:after="30" w:line="259" w:lineRule="auto"/>
            </w:pPr>
            <w:r>
              <w:rPr>
                <w:rFonts w:ascii="Arial" w:hAnsi="Arial"/>
                <w:sz w:val="17"/>
              </w:rPr>
              <w:t>Gesellschafterversammlung geplant</w:t>
            </w:r>
          </w:p>
        </w:tc>
        <w:tc>
          <w:tcPr>
            <w:tcW w:type="dxa" w:w="2650"/>
            <w:vAlign w:val="center"/>
            <w:tcMar>
              <w:top w:w="90" w:type="dxa"/>
              <w:start w:w="100" w:type="dxa"/>
              <w:bottom w:w="90" w:type="dxa"/>
              <w:end w:w="100" w:type="dxa"/>
            </w:tcMar>
          </w:tcPr>
          <w:p>
            <w:pPr>
              <w:spacing w:after="30" w:line="259" w:lineRule="auto"/>
            </w:pPr>
            <w:r>
              <w:rPr>
                <w:rFonts w:ascii="Arial" w:hAnsi="Arial"/>
                <w:sz w:val="17"/>
              </w:rPr>
              <w:t>Einladung</w:t>
            </w:r>
          </w:p>
        </w:tc>
        <w:tc>
          <w:tcPr>
            <w:tcW w:type="dxa" w:w="2600"/>
            <w:vAlign w:val="center"/>
            <w:tcMar>
              <w:top w:w="90" w:type="dxa"/>
              <w:start w:w="100" w:type="dxa"/>
              <w:bottom w:w="90" w:type="dxa"/>
              <w:end w:w="100" w:type="dxa"/>
            </w:tcMar>
          </w:tcPr>
          <w:p>
            <w:pPr>
              <w:spacing w:after="30" w:line="259" w:lineRule="auto"/>
            </w:pPr>
            <w:r>
              <w:rPr>
                <w:rFonts w:ascii="Arial" w:hAnsi="Arial"/>
                <w:sz w:val="17"/>
              </w:rPr>
              <w:t>Stimmrechtsnachweis</w:t>
            </w:r>
          </w:p>
        </w:tc>
      </w:tr>
      <w:tr>
        <w:tc>
          <w:tcPr>
            <w:tcW w:type="dxa" w:w="1500"/>
            <w:vAlign w:val="center"/>
            <w:shd w:fill="F2F4F5"/>
            <w:tcMar>
              <w:top w:w="90" w:type="dxa"/>
              <w:start w:w="100" w:type="dxa"/>
              <w:bottom w:w="90" w:type="dxa"/>
              <w:end w:w="100" w:type="dxa"/>
            </w:tcMar>
          </w:tcPr>
          <w:p>
            <w:pPr>
              <w:spacing w:after="30" w:line="259" w:lineRule="auto"/>
            </w:pPr>
            <w:r>
              <w:rPr>
                <w:rFonts w:ascii="Arial" w:hAnsi="Arial"/>
                <w:sz w:val="17"/>
              </w:rPr>
              <w:t>15.06.2026</w:t>
            </w:r>
          </w:p>
        </w:tc>
        <w:tc>
          <w:tcPr>
            <w:tcW w:type="dxa" w:w="2850"/>
            <w:vAlign w:val="center"/>
            <w:shd w:fill="F2F4F5"/>
            <w:tcMar>
              <w:top w:w="90" w:type="dxa"/>
              <w:start w:w="100" w:type="dxa"/>
              <w:bottom w:w="90" w:type="dxa"/>
              <w:end w:w="100" w:type="dxa"/>
            </w:tcMar>
          </w:tcPr>
          <w:p>
            <w:pPr>
              <w:spacing w:after="30" w:line="259" w:lineRule="auto"/>
            </w:pPr>
            <w:r>
              <w:rPr>
                <w:rFonts w:ascii="Arial" w:hAnsi="Arial"/>
                <w:sz w:val="17"/>
              </w:rPr>
              <w:t>Gesellschafterliste noch offen</w:t>
            </w:r>
          </w:p>
        </w:tc>
        <w:tc>
          <w:tcPr>
            <w:tcW w:type="dxa" w:w="2650"/>
            <w:vAlign w:val="center"/>
            <w:shd w:fill="F2F4F5"/>
            <w:tcMar>
              <w:top w:w="90" w:type="dxa"/>
              <w:start w:w="100" w:type="dxa"/>
              <w:bottom w:w="90" w:type="dxa"/>
              <w:end w:w="100" w:type="dxa"/>
            </w:tcMar>
          </w:tcPr>
          <w:p>
            <w:pPr>
              <w:spacing w:after="30" w:line="259" w:lineRule="auto"/>
            </w:pPr>
            <w:r>
              <w:rPr>
                <w:rFonts w:ascii="Arial" w:hAnsi="Arial"/>
                <w:sz w:val="17"/>
              </w:rPr>
              <w:t>Notaraktennotiz</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Einreichungsgrundlage klären</w:t>
            </w:r>
          </w:p>
        </w:tc>
      </w:tr>
    </w:tbl>
    <w:p>
      <w:pPr>
        <w:widowControl/>
        <w:spacing w:after="0"/>
      </w:pPr>
    </w:p>
    <w:p>
      <w:pPr>
        <w:pStyle w:val="Heading1"/>
        <w:widowControl/>
      </w:pPr>
      <w:r>
        <w:rPr>
          <w:rFonts w:ascii="Arial" w:hAnsi="Arial" w:eastAsia="Arial"/>
        </w:rPr>
        <w:t>2. Abhängigkeiten</w:t>
      </w:r>
    </w:p>
    <w:p>
      <w:pPr>
        <w:widowControl/>
        <w:jc w:val="both"/>
      </w:pPr>
      <w:r>
        <w:rPr>
          <w:rFonts w:ascii="Arial" w:hAnsi="Arial" w:eastAsia="Arial"/>
        </w:rPr>
        <w:t>Die Bankfreigabe hängt nicht allein von einem Erbschein ab; verlangt werden auch Vollstreckerzeugnis, Gesellschafterliste, Fortführungsplan und Liquiditätskonzept. Die Pflichtteilsbewertung ist für die Finanzierung relevant, entscheidet aber nicht automatisch über die gesellschaftsrechtliche Stimmrechtsausübung. Satzung, Testament und Gesetz sind deshalb je Beschlussgegenstand getrennt zu lesen.</w:t>
      </w:r>
    </w:p>
    <w:p>
      <w:pPr>
        <w:pStyle w:val="Heading1"/>
        <w:widowControl/>
      </w:pPr>
      <w:r>
        <w:rPr>
          <w:rFonts w:ascii="Arial" w:hAnsi="Arial" w:eastAsia="Arial"/>
        </w:rPr>
        <w:t>3. Dokumentenabhängigkeiten</w:t>
      </w:r>
    </w:p>
    <w:p>
      <w:pPr>
        <w:keepLines w:val="0"/>
        <w:widowControl/>
      </w:pPr>
      <w:r>
        <w:rPr>
          <w:rFonts w:ascii="Arial" w:hAnsi="Arial" w:eastAsia="Arial"/>
        </w:rPr>
        <w:t>Das Testamentsvollstreckerzeugnis wurde am 27.05.2026 erteilt. Die Gesellschafterversammlung fand am 18.05.2026 statt. Aufgabenlisten, die diese Ereignisse noch als offen führten, wurden an den tatsächlichen Stand angepasst.</w:t>
      </w:r>
    </w:p>
    <w:p>
      <w:pPr>
        <w:keepLines w:val="0"/>
        <w:widowControl/>
      </w:pPr>
      <w:r>
        <w:rPr>
          <w:rFonts w:ascii="Arial" w:hAnsi="Arial" w:eastAsia="Arial"/>
        </w:rPr>
        <w:t>Bankfreigabe, Gesellschafterliste, Investitionsabruf und Pflichtteilsbewertung werden in getrennten Spalten geführt. Eine wirtschaftliche Bankauflage wird nicht als gesellschafts- oder erbrechtliche Zuständigkeit ausgegeben.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Kanzlei Steinbrück Partnerschaft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7B2D3B"/>
        <w:sz w:val="22"/>
      </w:rPr>
      <w:t>KANZLEI STEINBRÜCK PARTNERSCHAFT</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Steinbrück Partnerschaft</w:t>
          </w:r>
        </w:p>
        <w:p>
          <w:pPr>
            <w:spacing w:after="0"/>
          </w:pPr>
          <w:r>
            <w:rPr>
              <w:color w:val="6B7378"/>
              <w:sz w:val="15"/>
            </w:rPr>
            <w:t>Erbrecht und Gesellschaftsrecht | Theaterstraße 9 | 97070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Chronologie und Vollzugsstatus</dc:title>
  <dc:subject>SP/26-309 MB</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