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Anlage A-1 — Vollmacht der Mandantin</w:t>
      </w:r>
    </w:p>
    <w:p>
      <w:pPr>
        <w:jc w:val="left"/>
      </w:pPr>
      <w:r>
        <w:rPr>
          <w:b/>
        </w:rPr>
        <w:t>Vollmacht</w:t>
      </w:r>
    </w:p>
    <w:p>
      <w:pPr>
        <w:jc w:val="left"/>
      </w:pPr>
      <w:r>
        <w:t>Die Leichtenstein Gartenkultur Manufaktur GmbH, Neckarstraße 118, 69412 Eberbach am Neckar, eingetragen im Handelsregister des Amtsgerichts Mannheim unter HRB 336218, vertreten durch ihre alleinvertretungsberechtigte Geschäftsführerin Reinhilde Leichtenstein-Bauernfeind,</w:t>
      </w:r>
    </w:p>
    <w:p>
      <w:pPr>
        <w:jc w:val="left"/>
      </w:pPr>
      <w:r>
        <w:t>bevollmächtigt hiermit</w:t>
      </w:r>
    </w:p>
    <w:p>
      <w:pPr>
        <w:jc w:val="left"/>
      </w:pPr>
      <w:r>
        <w:t>die Rechtsanwälte und Patentanwälte der Kanzlei Dr. Volkmar Trautmann &amp; Coll., Patentanwälte und Rechtsanwälte, Q 7 15, 68161 Mannheim,</w:t>
      </w:r>
    </w:p>
    <w:p>
      <w:pPr>
        <w:jc w:val="left"/>
      </w:pPr>
      <w:r>
        <w:t>sie in den nachfolgend bezeichneten Angelegenheiten außergerichtlich und gerichtlich, vor allen deutschen Gerichten und Behörden sowie vor dem Amt der Europäischen Union für geistiges Eigentum (EUIPO) einschließlich seiner Beschwerdekammern, zu vertreten:</w:t>
      </w:r>
    </w:p>
    <w:p>
      <w:pPr>
        <w:pStyle w:val="ListNumber"/>
      </w:pPr>
      <w:r>
        <w:t>Geltendmachung sämtlicher Ansprüche wegen Verletzung der Unionsmarke Nr. 018 977 412 (dreidimensionale Marke, Rosenblüten-Gestaltung) und ergänzender wettbewerbsrechtlicher Ansprüche gegen die FlowerWorld AG, insbesondere im Wege der Abmahnung, des einstweiligen Rechtsschutzes und der Hauptsacheklage;</w:t>
      </w:r>
    </w:p>
    <w:p>
      <w:pPr>
        <w:pStyle w:val="ListNumber"/>
      </w:pPr>
      <w:r>
        <w:t>Verteidigung der vorgenannten Unionsmarke in dem von der Bouqart Italia S.r.l. eingeleiteten Nichtigkeitsverfahren vor dem EUIPO einschließlich etwaiger Beschwerde- und Rechtsmittelverfahren;</w:t>
      </w:r>
    </w:p>
    <w:p>
      <w:pPr>
        <w:pStyle w:val="ListNumber"/>
      </w:pPr>
      <w:r>
        <w:t>alle mit den vorgenannten Verfahren zusammenhängenden Neben- und Folgeverfahren, einschließlich der Zwangsvollstreckung und der Verfahren über Ordnungsmittel.</w:t>
      </w:r>
    </w:p>
    <w:p>
      <w:pPr>
        <w:jc w:val="left"/>
      </w:pPr>
      <w:r>
        <w:t>Die Vollmacht umfasst die Befugnis zur Stellung und Rücknahme von Anträgen, zur Einlegung und Rücknahme von Rechtsbehelfen und Rechtsmitteln, zum Abschluss von Vergleichen, zum Verzicht und zum Anerkenntnis, zur Empfangnahme von Geldern, Wertsachen und Urkunden, insbesondere auch von der Gegenseite zu erstattenden Kosten, sowie zur Erteilung von Untervollmachten. Sie erstreckt sich auf alle Instanzen und bleibt bis zum schriftlichen Widerruf in Kraft.</w:t>
      </w:r>
    </w:p>
    <w:p>
      <w:pPr>
        <w:jc w:val="left"/>
      </w:pPr>
      <w:r>
        <w:t>Eberbach am Neckar, den 14. April 2026</w:t>
      </w:r>
    </w:p>
    <w:p>
      <w:pPr>
        <w:jc w:val="left"/>
      </w:pPr>
      <w:r>
        <w:t>gez. Reinhilde Leichtenstein-Bauernfeind</w:t>
      </w:r>
    </w:p>
    <w:p>
      <w:pPr>
        <w:jc w:val="left"/>
      </w:pPr>
      <w:r>
        <w:t>Geschäftsführerin der Leichtenstein Gartenkultur Manufaktur GmbH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