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Hausarbeit — abgegebene Fassung (Auszug mit Deckblatt, Gliederung und Literaturverzeichnis)</w:t>
      </w:r>
    </w:p>
    <w:p>
      <w:pPr>
        <w:pStyle w:val="Heading2"/>
      </w:pPr>
      <w:r>
        <w:rPr>
          <w:rFonts w:ascii="Times New Roman" w:hAnsi="Times New Roman"/>
        </w:rPr>
        <w:t>Deckblatt</w:t>
      </w:r>
    </w:p>
    <w:p>
      <w:pPr>
        <w:jc w:val="left"/>
      </w:pPr>
      <w:r>
        <w:t>Hochschule Rheinbogen — Fachbereich Wirtschafts- und Informationswissenschaften</w:t>
      </w:r>
    </w:p>
    <w:p>
      <w:pPr>
        <w:jc w:val="left"/>
      </w:pPr>
      <w:r>
        <w:t>Masterstudiengang Data Governance</w:t>
      </w:r>
    </w:p>
    <w:p>
      <w:pPr>
        <w:jc w:val="left"/>
      </w:pPr>
      <w:r>
        <w:t>Seminar "Datenethik und Regulierung datengetriebener Systeme", Sommersemester 2026, Prof. Dr. Ingeborg Haltern-Wieck</w:t>
      </w:r>
    </w:p>
    <w:p>
      <w:pPr>
        <w:jc w:val="left"/>
      </w:pPr>
      <w:r>
        <w:rPr>
          <w:b/>
        </w:rPr>
        <w:t>Hausarbeit: Rechenschaftspflichten beim Einsatz automatisierter Entscheidungssysteme in der Kreditwirtschaft — Anforderungen, Kontrolllücken und Gestaltungsvorschläge</w:t>
      </w:r>
    </w:p>
    <w:p>
      <w:pPr>
        <w:jc w:val="left"/>
      </w:pPr>
      <w:r>
        <w:t>Vorgelegt von: Jana Mondsee, Matrikelnummer 20421188, 4. Fachsemester</w:t>
      </w:r>
    </w:p>
    <w:p>
      <w:pPr>
        <w:jc w:val="left"/>
      </w:pPr>
      <w:r>
        <w:t>Abgabedatum: 27. April 2026 (Upload über die Lernplattform, Bestätigungsnummer UP-2026-118427)</w:t>
      </w:r>
    </w:p>
    <w:p>
      <w:pPr>
        <w:jc w:val="left"/>
      </w:pPr>
      <w:r>
        <w:t>Umfang: 18 Seiten Text (ohne Verzeichnisse), 4.812 Wörter</w:t>
      </w:r>
    </w:p>
    <w:p>
      <w:pPr>
        <w:pStyle w:val="Heading2"/>
      </w:pPr>
      <w:r>
        <w:rPr>
          <w:rFonts w:ascii="Times New Roman" w:hAnsi="Times New Roman"/>
        </w:rPr>
        <w:t>Gliederung der abgegebenen Fassung</w:t>
      </w:r>
    </w:p>
    <w:p>
      <w:pPr>
        <w:jc w:val="left"/>
      </w:pPr>
      <w:r>
        <w:t>1 Einleitung und Fragestellung</w:t>
      </w:r>
    </w:p>
    <w:p>
      <w:pPr>
        <w:jc w:val="left"/>
      </w:pPr>
      <w:r>
        <w:t>2 Automatisierte Entscheidungssysteme in der Kreditvergabe: technischer und ökonomischer Rahmen</w:t>
      </w:r>
    </w:p>
    <w:p>
      <w:pPr>
        <w:jc w:val="left"/>
      </w:pPr>
      <w:r>
        <w:t>3 Rechenschaftspflichten de lege lata</w:t>
      </w:r>
    </w:p>
    <w:p>
      <w:pPr>
        <w:jc w:val="left"/>
      </w:pPr>
      <w:r>
        <w:t>3.1 Transparenz- und Informationspflichten gegenüber Betroffenen</w:t>
      </w:r>
    </w:p>
    <w:p>
      <w:pPr>
        <w:jc w:val="left"/>
      </w:pPr>
      <w:r>
        <w:t>3.2 Dokumentations- und Nachweispflichten gegenüber Aufsichtsbehörden</w:t>
      </w:r>
    </w:p>
    <w:p>
      <w:pPr>
        <w:jc w:val="left"/>
      </w:pPr>
      <w:r>
        <w:t>3.3 Interne Verantwortlichkeitsstrukturen</w:t>
      </w:r>
    </w:p>
    <w:p>
      <w:pPr>
        <w:jc w:val="left"/>
      </w:pPr>
      <w:r>
        <w:t>4 Kontrolllücken: drei Fallkonstellationen</w:t>
      </w:r>
    </w:p>
    <w:p>
      <w:pPr>
        <w:jc w:val="left"/>
      </w:pPr>
      <w:r>
        <w:t>4.1 Modellwechsel ohne Neubewertung der Diskriminierungsrisiken</w:t>
      </w:r>
    </w:p>
    <w:p>
      <w:pPr>
        <w:jc w:val="left"/>
      </w:pPr>
      <w:r>
        <w:t>4.2 Zugekaufte Scores und die Verantwortungskette</w:t>
      </w:r>
    </w:p>
    <w:p>
      <w:pPr>
        <w:jc w:val="left"/>
      </w:pPr>
      <w:r>
        <w:t>4.3 Erklärbarkeit gegenüber Kundinnen und Kunden mit geringer Datenkompetenz</w:t>
      </w:r>
    </w:p>
    <w:p>
      <w:pPr>
        <w:jc w:val="left"/>
      </w:pPr>
      <w:r>
        <w:t>5 Gestaltungsvorschläge</w:t>
      </w:r>
    </w:p>
    <w:p>
      <w:pPr>
        <w:jc w:val="left"/>
      </w:pPr>
      <w:r>
        <w:t>6 Fazit</w:t>
      </w:r>
    </w:p>
    <w:p>
      <w:pPr>
        <w:pStyle w:val="Heading2"/>
      </w:pPr>
      <w:r>
        <w:rPr>
          <w:rFonts w:ascii="Times New Roman" w:hAnsi="Times New Roman"/>
        </w:rPr>
        <w:t>Textauszug aus Abschnitt 1 (Einleitung, erste beiden Absätze der abgegebenen Fassung)</w:t>
      </w:r>
    </w:p>
    <w:p>
      <w:pPr>
        <w:jc w:val="left"/>
      </w:pPr>
      <w:r>
        <w:t>"Wer über die Vergabe eines Kredits entscheidet, entscheidet über Teilhabechancen. Wird diese Entscheidung von einem automatisierten System vorbereitet oder vollständig getroffen, verschiebt sich die Verantwortung nicht, aber sie wird schwerer greifbar: Zwischen die Bank und die betroffene Person treten Modellentwickler, Datenlieferanten und Betreiber technischer Plattformen. Die vorliegende Arbeit fragt, welche Rechenschaftspflichten diesen Beteiligten heute treffen und an welchen Stellen die bestehenden Pflichten die tatsächlichen Entscheidungsabläufe nicht erreichen.</w:t>
      </w:r>
    </w:p>
    <w:p>
      <w:pPr>
        <w:jc w:val="left"/>
      </w:pPr>
      <w:r>
        <w:t>Die Arbeit konzentriert sich auf die Kreditwirtschaft, weil dort automatisierte Bewertungsverfahren seit Jahrzehnten etabliert sind und zugleich die Folgen fehlerhafter Bewertungen für die Betroffenen unmittelbar spürbar werden. Methodisch verbindet die Arbeit eine Auswertung der einschlägigen Regelwerke mit drei Fallkonstellationen, die aus veröffentlichten Aufsichtsberichten und Gerichtsentscheidungen entwickelt werden. Auf dieser Grundlage werden in Abschnitt 5 drei Gestaltungsvorschläge formuliert, die die Rechenschaftskette vom Modellentwurf bis zur Einzelfallentscheidung schließen sollen."</w:t>
      </w:r>
    </w:p>
    <w:p>
      <w:pPr>
        <w:pStyle w:val="Heading2"/>
      </w:pPr>
      <w:r>
        <w:rPr>
          <w:rFonts w:ascii="Times New Roman" w:hAnsi="Times New Roman"/>
        </w:rPr>
        <w:t>Literaturverzeichnis der abgegebenen Fassung</w:t>
      </w:r>
    </w:p>
    <w:p>
      <w:pPr>
        <w:jc w:val="left"/>
      </w:pPr>
      <w:r>
        <w:t>Die Arbeit führt 23 Quellen auf, darunter Monografien, Aufsätze, Aufsichtsberichte und Normtexte. Das Verzeichnis nennt zu jeder Quelle Autor, Titel, Jahr und Fundstelle; bei Online-Quellen ist das Abrufdatum angegeben (durchgehend 20. bis 25. April 2026). Auffällig für das Täuschungsverfahren: Alle 23 Einträge sind formal einheitlich gesetzt; zwei Einträge verweisen auf Berichte, deren Seitenzahlen in der abgegebenen Fassung nicht mit den zitierten Fundstellen im Fließtext übereinstimmen (Fußnoten 31 und 44). Ob es sich um Übertragungsfehler oder um ein Indiz für werkzeuggestützte Texterstellung handelt, ist zwischen der Studentin und dem Prüfungsausschuss streitig; der Detektorbericht der Hochschule liegt der Akte bislang nicht bei.</w:t>
      </w:r>
    </w:p>
    <w:p>
      <w:pPr>
        <w:pStyle w:val="Heading2"/>
      </w:pPr>
      <w:r>
        <w:rPr>
          <w:rFonts w:ascii="Times New Roman" w:hAnsi="Times New Roman"/>
        </w:rPr>
        <w:t>Erklärung am Ende der abgegebenen Fassung</w:t>
      </w:r>
    </w:p>
    <w:p>
      <w:pPr>
        <w:jc w:val="left"/>
      </w:pPr>
      <w:r>
        <w:t>"Ich versichere, dass ich die vorliegende Hausarbeit selbstständig verfasst und keine anderen als die angegebenen Quellen und Hilfsmittel benutzt habe. Als Hilfsmittel wurde das in der Seminarankündigung ausdrücklich zugelassene Rechtschreib- und Grammatikwerkzeug der Lernplattform verwendet. Jana Mondsee, 27.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