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Betreibervertrag und Wartung</w:t>
      </w:r>
    </w:p>
    <w:p>
      <w:pPr>
        <w:jc w:val="left"/>
      </w:pPr>
      <w:r>
        <w:t>Akte: Akte Vellbruck Robotics GmbH — Roboterflotte AtlasCare / LumaMove / Werkbank C7. Stand: 04.06.2026, interne Arbeitsfassung der Kanzlei Hagemann Rottkamp &amp; Partner.</w:t>
      </w:r>
    </w:p>
    <w:p>
      <w:pPr>
        <w:pStyle w:val="Heading2"/>
      </w:pPr>
      <w:r>
        <w:rPr>
          <w:rFonts w:ascii="Times New Roman" w:hAnsi="Times New Roman"/>
        </w:rPr>
        <w:t>Kernaussage</w:t>
      </w:r>
    </w:p>
    <w:p>
      <w:pPr>
        <w:jc w:val="left"/>
      </w:pPr>
      <w:r>
        <w:t>Dieser Vermerk wertet den Robot-as-a-Service-Vertrag mit der Münchner Feinlogistik GmbH aus. Er klärt, welche Pflichten beim Betreiber liegen und ob die Haftungsbegrenzung dem Unfall vom 27.05.2026 standhält.</w:t>
      </w:r>
    </w:p>
    <w:p>
      <w:pPr>
        <w:pStyle w:val="Heading2"/>
      </w:pPr>
      <w:r>
        <w:rPr>
          <w:rFonts w:ascii="Times New Roman" w:hAnsi="Times New Roman"/>
        </w:rPr>
        <w:t>Einzelpunkte</w:t>
      </w:r>
    </w:p>
    <w:p>
      <w:pPr>
        <w:pStyle w:val="ListBullet"/>
      </w:pPr>
      <w:r>
        <w:t>Robot-as-a-Service: Beim RaaS-Modell bleibt Vellbruck Eigentümerin und Wartungsverantwortliche; damit treffen sie auch nach Übergabe laufende Produktbeobachtungs- und Instruktionspflichten.</w:t>
      </w:r>
    </w:p>
    <w:p>
      <w:pPr>
        <w:pStyle w:val="ListBullet"/>
      </w:pPr>
      <w:r>
        <w:t>SLA und Updatefenster: Das SLA verspricht Einspielung sicherheitsrelevanter Updates binnen 72 Stunden, verlangt aber ein vom Kunden zu bestätigendes Wartungsfenster; für Patch 2.7.1 hat der Kunde noch kein Fenster bestätigt.</w:t>
      </w:r>
    </w:p>
    <w:p>
      <w:pPr>
        <w:pStyle w:val="ListBullet"/>
      </w:pPr>
      <w:r>
        <w:t>Verbot der Schutzfeldänderung: Ziffer 7 verbietet Parameteränderungen, das ausgelieferte System erzwingt das Verbot aber nicht technisch; das Admin-Menü war mit Standardrolle erreichbar.</w:t>
      </w:r>
    </w:p>
    <w:p>
      <w:pPr>
        <w:pStyle w:val="ListBullet"/>
      </w:pPr>
      <w:r>
        <w:t>Haftungsbegrenzung: Die Begrenzung auf zwölf Monatsvergütungen erfasst nach ihrem Wortlaut auch Personenschäden; insoweit ist die Klausel an den Maßstäben der AGB-Kontrolle voraussichtlich unwirksam.</w:t>
      </w:r>
    </w:p>
    <w:p>
      <w:pPr>
        <w:pStyle w:val="ListBullet"/>
      </w:pPr>
      <w:r>
        <w:t>Datenzugang und Audit: Der Vertrag gibt Vellbruck Zugriff auf Event- und Telemetriedaten, regelt aber nicht, ob der Betreiber Auswertungen für arbeitsrechtliche Zwecke erhält; der Betriebsrat des Kunden hat dazu Fragen angemeldet.</w:t>
      </w:r>
    </w:p>
    <w:p>
      <w:pPr>
        <w:pStyle w:val="Heading2"/>
      </w:pPr>
      <w:r>
        <w:rPr>
          <w:rFonts w:ascii="Times New Roman" w:hAnsi="Times New Roman"/>
        </w:rPr>
        <w:t>Tatsachenstand</w:t>
      </w:r>
    </w:p>
    <w:p>
      <w:pPr>
        <w:jc w:val="left"/>
      </w:pPr>
      <w:r>
        <w:t>Der Vertrag überlässt die LumaMove-Flotte gegen monatliche Vergütung einschließlich Wartung und Updates; Ziffer 7 verbietet Änderungen an Sicherheitsparametern durch den Betreiber, Ziffer 9 begrenzt die Haftung auf den Auftragswert von zwölf Monaten.</w:t>
      </w:r>
    </w:p>
    <w:p>
      <w:pPr>
        <w:jc w:val="left"/>
      </w:pPr>
      <w:r>
        <w:t>Der Betreiber hat mit E-Mail vom 30.05.2026 eingeräumt, das Admin-Menü genutzt zu haben, beruft sich aber darauf, nichts Unerlaubtes getan zu haben, weil das Menü frei zugänglich war.</w:t>
      </w:r>
    </w:p>
    <w:p>
      <w:pPr>
        <w:pStyle w:val="Heading2"/>
      </w:pPr>
      <w:r>
        <w:rPr>
          <w:rFonts w:ascii="Times New Roman" w:hAnsi="Times New Roman"/>
        </w:rPr>
        <w:t>Detailnotizen</w:t>
      </w:r>
    </w:p>
    <w:p>
      <w:pPr>
        <w:pStyle w:val="Heading3"/>
      </w:pPr>
      <w:r>
        <w:t>Robot-as-a-Service</w:t>
      </w:r>
    </w:p>
    <w:p>
      <w:pPr>
        <w:jc w:val="left"/>
      </w:pPr>
      <w:r>
        <w:t>Zu prüfen ist, ob der Vertrag die Rollen nach Maschinenrecht sauber verteilt oder ob Vellbruck faktisch Betreiberpflichten übernommen hat; die Abgrenzung entscheidet über die Verantwortlichkeit für die Unterweisung.</w:t>
      </w:r>
    </w:p>
    <w:p>
      <w:pPr>
        <w:pStyle w:val="Heading3"/>
      </w:pPr>
      <w:r>
        <w:t>SLA und Updatefenster</w:t>
      </w:r>
    </w:p>
    <w:p>
      <w:pPr>
        <w:jc w:val="left"/>
      </w:pPr>
      <w:r>
        <w:t>Die 72-Stunden-Zusage kollidiert mit der internen Freigaberunde; für sicherheitsrelevante Patches ist eine vertragliche Notfallklausel nachzuverhandeln, Entwurf über Aktenstück 20.</w:t>
      </w:r>
    </w:p>
    <w:p>
      <w:pPr>
        <w:pStyle w:val="Heading3"/>
      </w:pPr>
      <w:r>
        <w:t>Verbot der Schutzfeldänderung</w:t>
      </w:r>
    </w:p>
    <w:p>
      <w:pPr>
        <w:jc w:val="left"/>
      </w:pPr>
      <w:r>
        <w:t>Für den Prozess ist herauszuarbeiten, dass ein bloß vertragliches Verbot ohne technische Sperre die vorhersehbare Fehlanwendung nicht beseitigt; zugleich stützt Ziffer 7 den Mitverschuldenseinwand aus Aktenstück 39.</w:t>
      </w:r>
    </w:p>
    <w:p>
      <w:pPr>
        <w:pStyle w:val="Heading3"/>
      </w:pPr>
      <w:r>
        <w:t>Haftungsbegrenzung</w:t>
      </w:r>
    </w:p>
    <w:p>
      <w:pPr>
        <w:jc w:val="left"/>
      </w:pPr>
      <w:r>
        <w:t>Die Klausel ist für künftige Verträge neu zu fassen (Ausnahme für Personenschäden, Vorsatz und grobe Fahrlässigkeit); für den laufenden Fall darf sich Vellbruck auf sie gegenüber dem Verletzten nicht berufen.</w:t>
      </w:r>
    </w:p>
    <w:p>
      <w:pPr>
        <w:pStyle w:val="Heading3"/>
      </w:pPr>
      <w:r>
        <w:t>Datenzugang und Audit</w:t>
      </w:r>
    </w:p>
    <w:p>
      <w:pPr>
        <w:jc w:val="left"/>
      </w:pPr>
      <w:r>
        <w:t>Der Datenzugang ist auf Zweck, Dauer und Personenbezug zu prüfen; für die Unfallaufklärung sind die Logs nach dem Vertrag nutzbar, für Leistungskontrolle der Beschäftigten nicht.</w:t>
      </w:r>
    </w:p>
    <w:p>
      <w:pPr>
        <w:pStyle w:val="Heading2"/>
      </w:pPr>
      <w:r>
        <w:rPr>
          <w:rFonts w:ascii="Times New Roman" w:hAnsi="Times New Roman"/>
        </w:rPr>
        <w:t>Offene Rückfragen</w:t>
      </w:r>
    </w:p>
    <w:p>
      <w:pPr>
        <w:pStyle w:val="ListBullet"/>
      </w:pPr>
      <w:r>
        <w:t>Hat der Kunde für Patch 2.7.1 ein Wartungsfenster bestätigt?</w:t>
      </w:r>
    </w:p>
    <w:p>
      <w:pPr>
        <w:pStyle w:val="ListBullet"/>
      </w:pPr>
      <w:r>
        <w:t>Welche Rolle im Berechtigungskonzept hatte Zugriff auf das Admin-Menü?</w:t>
      </w:r>
    </w:p>
    <w:p>
      <w:pPr>
        <w:pStyle w:val="ListBullet"/>
      </w:pPr>
      <w:r>
        <w:t>Ist die Haftungsklausel gegenüber dem verletzten Lagerarbeiter überhaupt relevant?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