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Unfallbericht Lagerhalle</w:t>
      </w:r>
    </w:p>
    <w:p>
      <w:pPr>
        <w:jc w:val="left"/>
      </w:pPr>
      <w:r>
        <w:t>Akte: Akte Vellbruck Robotics GmbH — Roboterflotte AtlasCare / LumaMove / Werkbank C7. Stand: 05.06.2026,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Bericht rekonstruiert die Kollision der Einheit LM-104 mit einem Lagerarbeiter am 27.05.2026 in Halle 12 des Münchner Logistikzentrums. Er trennt gesicherte Logbefunde von streitigen Angaben der Beteiligten.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Kollision am 27.05.2026: Die Einheit LM-104 erfasste den Mitarbeiter beim Rückwärtsrangieren aus einem Kommissionierbereich; die Aufprallgeschwindigkeit liegt nach Log zwischen 0,88 und 1,05 m/s.</w:t>
      </w:r>
    </w:p>
    <w:p>
      <w:pPr>
        <w:pStyle w:val="ListBullet"/>
      </w:pPr>
      <w:r>
        <w:t>geänderte Schutzfeldparameter: Die Schutzfeldreduzierungen um 08:10 und 08:50 Uhr liefen über remote-admin; ob dahinter der Betreiber, Schärlein Automation oder ein Vellbruck-Mitarbeiter stand, ist ungeklärt.</w:t>
      </w:r>
    </w:p>
    <w:p>
      <w:pPr>
        <w:pStyle w:val="ListBullet"/>
      </w:pPr>
      <w:r>
        <w:t>Schichtdruck vor Feiertag: Nach Angaben des Schichtleiters lief die Anlage wegen Feiertagsstau mit erhöhter Taktung; der Modus für erhöhte Geschwindigkeit war freigeschaltet.</w:t>
      </w:r>
    </w:p>
    <w:p>
      <w:pPr>
        <w:pStyle w:val="ListBullet"/>
      </w:pPr>
      <w:r>
        <w:t>Betriebsrat und Unterweisung: Der Betriebsrat des Kunden rügt fehlende Unterweisung des Schichtteams B und verlangt Beteiligung bei der Log-Auswertung.</w:t>
      </w:r>
    </w:p>
    <w:p>
      <w:pPr>
        <w:pStyle w:val="ListBullet"/>
      </w:pPr>
      <w:r>
        <w:t>Logdaten und Video: Eventlog, Konfigurationshistorie und Kameraaufnahmen liegen teils beim Betreiber, teils in VellNet Control; einheitliche Sicherung fehlt.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Nach dem Eventlog wurde um 08:10 Uhr und erneut um 08:50 Uhr über das Konto remote-admin das Schutzfeld reduziert; um 08:20 Uhr registrierte das System einen Beinaheunfall in Halle 1, um 08:25 Uhr einen Not-Halt; die Kollision mit Verletzung des linken Knies eines Lagerarbeiters folgte im weiteren Schichtverlauf.</w:t>
      </w:r>
    </w:p>
    <w:p>
      <w:pPr>
        <w:jc w:val="left"/>
      </w:pPr>
      <w:r>
        <w:t>Der Betreiber bestreitet eine unerlaubte Manipulation und verweist auf das frei zugängliche Admin-Menü; die Unterweisungsunterlagen zeigen, dass Schichtteam B zuletzt am 14.02.2026 nicht unterwiesen wurde.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Kollision am 27.05.2026</w:t>
      </w:r>
    </w:p>
    <w:p>
      <w:pPr>
        <w:jc w:val="left"/>
      </w:pPr>
      <w:r>
        <w:t>Der genaue Kollisionszeitpunkt ist aus dem vollständigen Log zu bestimmen; das gesicherte Kurzvideo der Hallenkamera deckt nur den Zeitraum nach dem Not-Halt ab.</w:t>
      </w:r>
    </w:p>
    <w:p>
      <w:pPr>
        <w:pStyle w:val="Heading3"/>
      </w:pPr>
      <w:r>
        <w:t>geänderte Schutzfeldparameter</w:t>
      </w:r>
    </w:p>
    <w:p>
      <w:pPr>
        <w:jc w:val="left"/>
      </w:pPr>
      <w:r>
        <w:t>Die Zugriffshistorie des Kontos remote-admin einschließlich IP-Adressen und Session-Dauer ist zu sichern, bevor Löschfristen greifen; Anfrage an die IT läuft über Bertram Kiendl.</w:t>
      </w:r>
    </w:p>
    <w:p>
      <w:pPr>
        <w:pStyle w:val="Heading3"/>
      </w:pPr>
      <w:r>
        <w:t>Schichtdruck vor Feiertag</w:t>
      </w:r>
    </w:p>
    <w:p>
      <w:pPr>
        <w:jc w:val="left"/>
      </w:pPr>
      <w:r>
        <w:t>Zu klären ist, wer die erhöhte Taktung freigegeben hat und ob die Anleitung diesen Betriebsmodus in belegten Zonen zulässt; die Aussage des Schichtleiters ist zu protokollieren.</w:t>
      </w:r>
    </w:p>
    <w:p>
      <w:pPr>
        <w:pStyle w:val="Heading3"/>
      </w:pPr>
      <w:r>
        <w:t>Betriebsrat und Unterweisung</w:t>
      </w:r>
    </w:p>
    <w:p>
      <w:pPr>
        <w:jc w:val="left"/>
      </w:pPr>
      <w:r>
        <w:t>Die Unterweisungslücke ist primär Betreiberverantwortung, entlastet Vellbruck aber nicht bei der Instruktionspflicht; Nachweise beider Seiten sind in der Beweismatrix (Aktenstück 37) zu spiegeln.</w:t>
      </w:r>
    </w:p>
    <w:p>
      <w:pPr>
        <w:pStyle w:val="Heading3"/>
      </w:pPr>
      <w:r>
        <w:t>Logdaten und Video</w:t>
      </w:r>
    </w:p>
    <w:p>
      <w:pPr>
        <w:jc w:val="left"/>
      </w:pPr>
      <w:r>
        <w:t>Sämtliche Rohdaten des 27.05.2026 sind forensisch zu sichern und zu hashen; die Sicherung koordiniert der Sachverständige nach Briefing in Aktenstück 36.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Wer stand am 27.05.2026 hinter den beiden remote-admin-Sitzungen?</w:t>
      </w:r>
    </w:p>
    <w:p>
      <w:pPr>
        <w:pStyle w:val="ListBullet"/>
      </w:pPr>
      <w:r>
        <w:t>Um wie viel Uhr genau erfasste LM-104 den Mitarbeiter?</w:t>
      </w:r>
    </w:p>
    <w:p>
      <w:pPr>
        <w:pStyle w:val="ListBullet"/>
      </w:pPr>
      <w:r>
        <w:t>Welche Kamerasequenzen existieren über den Not-Halt hinaus?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