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Marktüberwachung und Unterlagenanforderung</w:t>
      </w:r>
    </w:p>
    <w:p>
      <w:pPr>
        <w:jc w:val="left"/>
      </w:pPr>
      <w:r>
        <w:t>Akte: Akte Vellbruck Robotics GmbH — Roboterflotte AtlasCare / LumaMove / Werkbank C7. Stand: 06.06.2026,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Entwurf beantwortet die Unterlagenanforderung der Regierung von Oberbayern zur LumaMove-Flotte und zur Werkbank C7. Er legt fest, was bis zur Frist am 19.06.2026 vorgelegt wird und was unter Nachlieferungsvorbehalt steht.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Anfrage Regierung von Oberbayern: Die Anforderung stützt sich auf die Marktüberwachungszuständigkeit für Maschinenprodukte; sie betrifft beide Produktlinien, nicht nur die Unfalleinheit.</w:t>
      </w:r>
    </w:p>
    <w:p>
      <w:pPr>
        <w:pStyle w:val="ListBullet"/>
      </w:pPr>
      <w:r>
        <w:t>technische Dokumentation: Die Dokumentation ist über Produktakte, Entwicklungsablage und Wartungssystem verstreut; ein konsolidierter Stand existiert für keines der Produkte.</w:t>
      </w:r>
    </w:p>
    <w:p>
      <w:pPr>
        <w:pStyle w:val="ListBullet"/>
      </w:pPr>
      <w:r>
        <w:t>EU-Konformitätserklärung: Für LumaMove liegt nur Entwurf 0.8 vor; für die Werkbank C7 existiert eine unterzeichnete Erklärung, deren Normenstand vor dem letzten Softwareupdate liegt.</w:t>
      </w:r>
    </w:p>
    <w:p>
      <w:pPr>
        <w:pStyle w:val="ListBullet"/>
      </w:pPr>
      <w:r>
        <w:t>Anleitungssprache: Teile der Betriebsanleitung liegen nur auf Englisch vor, obwohl das Bedienpersonal in Halle 12 deutschsprachig unterwiesen wird.</w:t>
      </w:r>
    </w:p>
    <w:p>
      <w:pPr>
        <w:pStyle w:val="ListBullet"/>
      </w:pPr>
      <w:r>
        <w:t>Frist und Kommunikationslinie: Die Frist 19.06.2026 ist noch nicht verlängert; einzige Sprecherin gegenüber der Behörde ist die Kanzlei.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Die Behörde verlangt technische Dokumentation, EU-Konformitätserklärung, Risikobeurteilung, Betriebsanleitung und eine Darstellung des Vorfalls vom 27.05.2026; das Anschreiben liegt als PDF in der Akte.</w:t>
      </w:r>
    </w:p>
    <w:p>
      <w:pPr>
        <w:jc w:val="left"/>
      </w:pPr>
      <w:r>
        <w:t>Die Konformitätserklärung für LumaMove existiert nur als Entwurf 0.8 ohne festgelegten Unterzeichner und ohne abschließende Normenliste; die Risikobeurteilung der Werkbank C7 bildet Patch 2.7.1 nicht ab.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Anfrage Regierung von Oberbayern</w:t>
      </w:r>
    </w:p>
    <w:p>
      <w:pPr>
        <w:jc w:val="left"/>
      </w:pPr>
      <w:r>
        <w:t>Der Antwortentwurf trennt nach Produkten und kennzeichnet je Dokument Version und Stand; Vollständigkeitserklärungen werden vermieden, solange die CE-Gap-Liste (Aktenstück 12) offene Punkte ausweist.</w:t>
      </w:r>
    </w:p>
    <w:p>
      <w:pPr>
        <w:pStyle w:val="Heading3"/>
      </w:pPr>
      <w:r>
        <w:t>technische Dokumentation</w:t>
      </w:r>
    </w:p>
    <w:p>
      <w:pPr>
        <w:jc w:val="left"/>
      </w:pPr>
      <w:r>
        <w:t>Bis zum 12.06.2026 wird ein dokumentierter Zwischenstand eingefroren, aus dem die Behördenfassung erstellt wird; Verantwortlich sind Rodenwald für Technik und die Kanzlei für die rechtliche Durchsicht.</w:t>
      </w:r>
    </w:p>
    <w:p>
      <w:pPr>
        <w:pStyle w:val="Heading3"/>
      </w:pPr>
      <w:r>
        <w:t>EU-Konformitätserklärung</w:t>
      </w:r>
    </w:p>
    <w:p>
      <w:pPr>
        <w:jc w:val="left"/>
      </w:pPr>
      <w:r>
        <w:t>Der Behörde wird der tatsächliche Stand offengelegt statt einer nachträglich datierten Erklärung; eine rückdatierte Unterzeichnung scheidet aus, siehe auch Aktenstück 16.</w:t>
      </w:r>
    </w:p>
    <w:p>
      <w:pPr>
        <w:pStyle w:val="Heading3"/>
      </w:pPr>
      <w:r>
        <w:t>Anleitungssprache</w:t>
      </w:r>
    </w:p>
    <w:p>
      <w:pPr>
        <w:jc w:val="left"/>
      </w:pPr>
      <w:r>
        <w:t>Die deutschen Fassungen der sicherheitsrelevanten Kapitel sind vor Fristablauf fertigzustellen; bis dahin wird die Lücke im Anschreiben benannt und mit Übersetzungstermin versehen.</w:t>
      </w:r>
    </w:p>
    <w:p>
      <w:pPr>
        <w:pStyle w:val="Heading3"/>
      </w:pPr>
      <w:r>
        <w:t>Frist und Kommunikationslinie</w:t>
      </w:r>
    </w:p>
    <w:p>
      <w:pPr>
        <w:jc w:val="left"/>
      </w:pPr>
      <w:r>
        <w:t>Eine kurze Fristverlängerung um zwei Wochen wird nur für die Anleitungskapitel beantragt; alle übrigen Unterlagen gehen fristgerecht mit Versionsvermerk hinaus.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Wird die Behörde eine Teilnachlieferung der Anleitungskapitel akzeptieren?</w:t>
      </w:r>
    </w:p>
    <w:p>
      <w:pPr>
        <w:pStyle w:val="ListBullet"/>
      </w:pPr>
      <w:r>
        <w:t>Welche Normenliste trägt die finale Konformitätserklärung?</w:t>
      </w:r>
    </w:p>
    <w:p>
      <w:pPr>
        <w:pStyle w:val="ListBullet"/>
      </w:pPr>
      <w:r>
        <w:t>Muss der Vorfall vom 27.05.2026 zusätzlich aktiv gemeldet werden?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