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Cybersecurity und Patch-Dilemma</w:t>
      </w:r>
    </w:p>
    <w:p>
      <w:pPr>
        <w:jc w:val="left"/>
      </w:pPr>
      <w:r>
        <w:t>Akte: Akte Vellbruck Robotics GmbH — Roboterflotte AtlasCare / LumaMove / Werkbank C7. Stand: 08.06.2026,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behandelt die vom Security Researcher gemeldete Schwachstelle im Legacy-Updatekanal (Bericht VR-884) und die Frage, ob Patch 2.7.1 ohne erneute Konformitätsrunde ausgerollt werden darf.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Updatekanal: Der Legacy-Kanal besteht für Bestandskunden mit alten Gateways; er umgeht die Signaturprüfung des neuen Kanals.</w:t>
      </w:r>
    </w:p>
    <w:p>
      <w:pPr>
        <w:pStyle w:val="ListBullet"/>
      </w:pPr>
      <w:r>
        <w:t>SBOM: Der SBOM-Export vom 31.05.2026 ist unvollständig, insbesondere bei transitiven FOSS-Abhängigkeiten; ohne vollständige SBOM lässt sich die Betroffenheit weiterer Komponenten nicht sicher beurteilen.</w:t>
      </w:r>
    </w:p>
    <w:p>
      <w:pPr>
        <w:pStyle w:val="ListBullet"/>
      </w:pPr>
      <w:r>
        <w:t>CVE-Meldung: Der Researcher hat koordinierte Offenlegung angeboten; eine CVE-Nummer ist noch nicht vergeben.</w:t>
      </w:r>
    </w:p>
    <w:p>
      <w:pPr>
        <w:pStyle w:val="ListBullet"/>
      </w:pPr>
      <w:r>
        <w:t>Remote-Patch ohne Revalidierung: Patch 2.7.1 ändert auch Parameter der Sicherheitslogik; ein Rollout ohne Revalidierung der Sicherheitsfunktionen wäre mit der bestehenden Risikobeurteilung nicht gedeckt.</w:t>
      </w:r>
    </w:p>
    <w:p>
      <w:pPr>
        <w:pStyle w:val="ListBullet"/>
      </w:pPr>
      <w:r>
        <w:t>CRA-Fristen und Meldeprozess: Für aktiv ausgenutzte Schwachstellen gelten kurze Meldefristen an die zuständigen Stellen; eine aktive Ausnutzung ist bislang nicht festgestellt, aber nicht ausgeschlossen.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Der Bericht VR-884 beschreibt, dass der Legacy-Updatekanal Firmwarepakete ohne ausreichende Signaturprüfung akzeptiert; Rodenwald hält den Legacy-Modus für nicht mehr vertretbar, seine Fernabschaltung nähme einigen Kunden vorübergehend Flottenfunktionen.</w:t>
      </w:r>
    </w:p>
    <w:p>
      <w:pPr>
        <w:jc w:val="left"/>
      </w:pPr>
      <w:r>
        <w:t>Die Geschäftsführung erwartet nach der E-Mail von Adelheid Vellbruck vom 01.06.2026 eine Aussage, ob eine eigene Meldung an Behörden erforderlich ist und ob der Patch ohne neue Freigaberunde ausgerollt werden darf.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Updatekanal</w:t>
      </w:r>
    </w:p>
    <w:p>
      <w:pPr>
        <w:jc w:val="left"/>
      </w:pPr>
      <w:r>
        <w:t>Die Abschaltung wird kundenweise geplant: erst Information mit Übergangsfrist, dann Deaktivierung; die Kundenmail dazu ist Aktenstück 52.</w:t>
      </w:r>
    </w:p>
    <w:p>
      <w:pPr>
        <w:pStyle w:val="Heading3"/>
      </w:pPr>
      <w:r>
        <w:t>SBOM</w:t>
      </w:r>
    </w:p>
    <w:p>
      <w:pPr>
        <w:jc w:val="left"/>
      </w:pPr>
      <w:r>
        <w:t>Die SBOM wird toolgestützt neu erzeugt und mit der Lizenzauswertung aus Aktenstück 24 zusammengeführt; Stichtag ist der Freigabetermin von Patch 2.7.1.</w:t>
      </w:r>
    </w:p>
    <w:p>
      <w:pPr>
        <w:pStyle w:val="Heading3"/>
      </w:pPr>
      <w:r>
        <w:t>CVE-Meldung</w:t>
      </w:r>
    </w:p>
    <w:p>
      <w:pPr>
        <w:jc w:val="left"/>
      </w:pPr>
      <w:r>
        <w:t>Vellbruck übernimmt die Koordination der Offenlegung selbst, um Fristen und Formulierungen zu steuern; die Meldewege an Behörden prüft die Kanzlei parallel zur Schwere-Einstufung.</w:t>
      </w:r>
    </w:p>
    <w:p>
      <w:pPr>
        <w:pStyle w:val="Heading3"/>
      </w:pPr>
      <w:r>
        <w:t>Remote-Patch ohne Revalidierung</w:t>
      </w:r>
    </w:p>
    <w:p>
      <w:pPr>
        <w:jc w:val="left"/>
      </w:pPr>
      <w:r>
        <w:t>Der Rollout erfolgt zweistufig: sofortige Schließung des Updatekanals, Sicherheitsfunktionsänderungen erst nach verkürzter Validierung nach dem Plan in Aktenstück 20.</w:t>
      </w:r>
    </w:p>
    <w:p>
      <w:pPr>
        <w:pStyle w:val="Heading3"/>
      </w:pPr>
      <w:r>
        <w:t>CRA-Fristen und Meldeprozess</w:t>
      </w:r>
    </w:p>
    <w:p>
      <w:pPr>
        <w:jc w:val="left"/>
      </w:pPr>
      <w:r>
        <w:t>Die Ausnutzbarkeit wird binnen 48 Stunden forensisch bewertet; das Ergebnis entscheidet über Meldung und Formulierung, Entwurf hält die Kanzlei bereit.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Gibt es Hinweise auf aktive Ausnutzung des Legacy-Kanals?</w:t>
      </w:r>
    </w:p>
    <w:p>
      <w:pPr>
        <w:pStyle w:val="ListBullet"/>
      </w:pPr>
      <w:r>
        <w:t>Welche Kunden hängen noch am Legacy-Kanal und mit welchen Funktionen?</w:t>
      </w:r>
    </w:p>
    <w:p>
      <w:pPr>
        <w:pStyle w:val="ListBullet"/>
      </w:pPr>
      <w:r>
        <w:t>Welche Teile von Patch 2.7.1 berühren Sicherheitsfunktionen?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