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Produkthaftung, Mitverschulden, Beweislast</w:t>
      </w:r>
    </w:p>
    <w:p>
      <w:pPr>
        <w:jc w:val="left"/>
      </w:pPr>
      <w:r>
        <w:t>Akte: Akte Vellbruck Robotics GmbH — Roboterflotte AtlasCare / LumaMove / Werkbank C7. Stand: 10.06.2026,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strukturiert die Haftungslage nach dem Unfall vom 27.05.2026: Produkthaftung von Vellbruck, Mitverantwortung des Betreibers und die Verteilung der Beweislast über die Logdaten.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Produktfehler: Als Konstruktionsfehler kommt das frei zugängliche Admin-Menü ohne technische Sperre in Betracht, als Instruktionsfehler die nur englischsprachigen Anleitungsteile.</w:t>
      </w:r>
    </w:p>
    <w:p>
      <w:pPr>
        <w:pStyle w:val="ListBullet"/>
      </w:pPr>
      <w:r>
        <w:t>berechtigte Sicherheitserwartung: Maßstab ist die Erwartung des Bedienpersonals in einer gemischten Halle, nicht die des Systemadministrators; ein Transportfahrzeug darf bei erkannter Person nicht mit reduziertem Schutzfeld weiterfahren.</w:t>
      </w:r>
    </w:p>
    <w:p>
      <w:pPr>
        <w:pStyle w:val="ListBullet"/>
      </w:pPr>
      <w:r>
        <w:t>Betreiberfehler: Die Schutzfeldänderung und die Unterweisungslücke des Schichtteams B begründen erhebliche Mitverantwortung des Betreibers.</w:t>
      </w:r>
    </w:p>
    <w:p>
      <w:pPr>
        <w:pStyle w:val="ListBullet"/>
      </w:pPr>
      <w:r>
        <w:t>Update als digitaler Dienst: Nach neuem Produkthaftungsrecht können fehlerhafte Updates und unterlassene Sicherheitsupdates die Fehlerhaftigkeit begründen; der offene Legacy-Kanal ist insoweit ein eigenes Risiko.</w:t>
      </w:r>
    </w:p>
    <w:p>
      <w:pPr>
        <w:pStyle w:val="ListBullet"/>
      </w:pPr>
      <w:r>
        <w:t>Offenlegung technischer Unterlagen: Im Prozess drohen Offenlegungsanordnungen zur Produktakte; deren Lücken (Gap-Liste, Aktenstück 12) würden sichtbar.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verletzte Lagerarbeiter macht eine Knieverletzung mit mehrwöchiger Arbeitsunfähigkeit geltend; als Anspruchsgegner kommen Vellbruck als Herstellerin und die Münchner Feinlogistik als Arbeitgeberin mit Blick auf den Unterweisungsmangel in Betracht.</w:t>
      </w:r>
    </w:p>
    <w:p>
      <w:pPr>
        <w:jc w:val="left"/>
      </w:pPr>
      <w:r>
        <w:t>Beweismittel sind vor allem das Eventlog, die Konfigurationshistorie des Kontos remote-admin und die Unterweisungsnachweise; die Rohdaten liegen verteilt bei Betreiber und VellNet Control.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Produktfehler</w:t>
      </w:r>
    </w:p>
    <w:p>
      <w:pPr>
        <w:jc w:val="left"/>
      </w:pPr>
      <w:r>
        <w:t>Beide Fehlerkategorien werden getrennt aufbereitet, weil sie unterschiedliche Einwände tragen; die Anleitungslage dokumentiert Aktenstück 14.</w:t>
      </w:r>
    </w:p>
    <w:p>
      <w:pPr>
        <w:pStyle w:val="Heading3"/>
      </w:pPr>
      <w:r>
        <w:t>berechtigte Sicherheitserwartung</w:t>
      </w:r>
    </w:p>
    <w:p>
      <w:pPr>
        <w:jc w:val="left"/>
      </w:pPr>
      <w:r>
        <w:t>Die Erwartungsbildung wird über Anleitung, Schulungsunterlagen und Marketingaussagen rekonstruiert; die Marketingdiskrepanz aus Aktenstück 15 wirkt hier zulasten von Vellbruck.</w:t>
      </w:r>
    </w:p>
    <w:p>
      <w:pPr>
        <w:pStyle w:val="Heading3"/>
      </w:pPr>
      <w:r>
        <w:t>Betreiberfehler</w:t>
      </w:r>
    </w:p>
    <w:p>
      <w:pPr>
        <w:jc w:val="left"/>
      </w:pPr>
      <w:r>
        <w:t>Das Mitverschulden wird der Höhe nach mit den Logzeitpunkten unterlegt; zugleich ist zu prüfen, ob der Haftungsausschluss im Innenverhältnis (Ziffer 9 des Vertrags) trägt.</w:t>
      </w:r>
    </w:p>
    <w:p>
      <w:pPr>
        <w:pStyle w:val="Heading3"/>
      </w:pPr>
      <w:r>
        <w:t>Update als digitaler Dienst</w:t>
      </w:r>
    </w:p>
    <w:p>
      <w:pPr>
        <w:jc w:val="left"/>
      </w:pPr>
      <w:r>
        <w:t>Für die Verteidigung wird dokumentiert, wann welche Updates bereitgestellt und vom Betreiber eingespielt wurden; die Update-Historie liefert VellNet Control.</w:t>
      </w:r>
    </w:p>
    <w:p>
      <w:pPr>
        <w:pStyle w:val="Heading3"/>
      </w:pPr>
      <w:r>
        <w:t>Offenlegung technischer Unterlagen</w:t>
      </w:r>
    </w:p>
    <w:p>
      <w:pPr>
        <w:jc w:val="left"/>
      </w:pPr>
      <w:r>
        <w:t>Die Produktakte wird vor einer etwaigen Klage konsolidiert; über Umfang und Reihenfolge der Offenlegung entscheidet die Kanzlei fallbezogen.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Anspruchsgrundlagen macht der Geschädigte konkret geltend?</w:t>
      </w:r>
    </w:p>
    <w:p>
      <w:pPr>
        <w:pStyle w:val="ListBullet"/>
      </w:pPr>
      <w:r>
        <w:t>Lässt sich die Schutzfeldänderung einem Verantwortlichen sicher zuordnen?</w:t>
      </w:r>
    </w:p>
    <w:p>
      <w:pPr>
        <w:pStyle w:val="ListBullet"/>
      </w:pPr>
      <w:r>
        <w:t>Welche Update-Historie weist VellNet Control für LM-104 aus?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