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Marketingfolien und Zweckbestimmung</w:t>
      </w:r>
    </w:p>
    <w:p>
      <w:pPr>
        <w:jc w:val="left"/>
      </w:pPr>
      <w:r>
        <w:t>Akte: Akte Vellbruck Robotics GmbH — Roboterflotte AtlasCare / LumaMove / Werkbank C7. Stand: 15.06.2026,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vergleicht die Vertriebsaussagen zur LumaMove-Flotte mit der dokumentierten Zweckbestimmung. Die Diskrepanz wirkt auf Sicherheitserwartung, KI-VO-Einstufung und Behördenkommunikation.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Werbung: Die Folien stammen aus dem Vertrieb und wurden nicht durch QM oder Recht freigegeben; sie wurden auf zwei Messen und in Kundenpräsentationen verwendet.</w:t>
      </w:r>
    </w:p>
    <w:p>
      <w:pPr>
        <w:pStyle w:val="ListBullet"/>
      </w:pPr>
      <w:r>
        <w:t>Autonomie: Die beworbene Vollautonomie widerspricht der Zweckbestimmung und erhöht die berechtigte Sicherheitserwartung der Nutzer; im Haftungsprozess wird die Gegenseite die Folien vorlegen.</w:t>
      </w:r>
    </w:p>
    <w:p>
      <w:pPr>
        <w:pStyle w:val="ListBullet"/>
      </w:pPr>
      <w:r>
        <w:t>KI: Die Folien nennen selbstlernende Routenoptimierung; tatsächlich lernt das System nicht im Feld, sondern erhält zentrale Modellupdates.</w:t>
      </w:r>
    </w:p>
    <w:p>
      <w:pPr>
        <w:pStyle w:val="ListBullet"/>
      </w:pPr>
      <w:r>
        <w:t>Sicherheit: Eine Folie zeigt Mischverkehr ohne Sicherheitsabstand mit der Bildunterschrift, das System weiche Menschen immer aus.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Die Vertriebsfolien aus Q1 2026 bewerben eine vollautonome, selbstoptimierende Flotte ohne notwendige menschliche Überwachung; die technische Dokumentation beschreibt ein assistiertes Transportsystem mit Leitstandüberwachung und definierten Schutzfeldern.</w:t>
      </w:r>
    </w:p>
    <w:p>
      <w:pPr>
        <w:jc w:val="left"/>
      </w:pPr>
      <w:r>
        <w:t>Der Betreiber beruft sich in der E-Mail vom 30.05.2026 sinngemäß auf die beworbene Autonomie, um die eigene Parameteränderung als zulässige Nutzung darzustellen.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Werbung</w:t>
      </w:r>
    </w:p>
    <w:p>
      <w:pPr>
        <w:jc w:val="left"/>
      </w:pPr>
      <w:r>
        <w:t>Alle im Umlauf befindlichen Fassungen werden eingezogen und durch eine freigegebene Version ersetzt; der Freigabeprozess läuft künftig über die Compliance-Gates aus Aktenstück 46.</w:t>
      </w:r>
    </w:p>
    <w:p>
      <w:pPr>
        <w:pStyle w:val="Heading3"/>
      </w:pPr>
      <w:r>
        <w:t>Autonomie</w:t>
      </w:r>
    </w:p>
    <w:p>
      <w:pPr>
        <w:jc w:val="left"/>
      </w:pPr>
      <w:r>
        <w:t>Die Verteidigungslinie erkennt die Diskrepanz intern an und stützt sich auf Anleitung und Vertrag als maßgebliche Dokumente; Details in Aktenstück 39.</w:t>
      </w:r>
    </w:p>
    <w:p>
      <w:pPr>
        <w:pStyle w:val="Heading3"/>
      </w:pPr>
      <w:r>
        <w:t>KI</w:t>
      </w:r>
    </w:p>
    <w:p>
      <w:pPr>
        <w:jc w:val="left"/>
      </w:pPr>
      <w:r>
        <w:t>Die technisch korrekte Beschreibung (zentrale Updates, kein Online-Lernen) wird in alle Kundenunterlagen übernommen; sie ist auch für die KI-VO-Einstufung günstiger.</w:t>
      </w:r>
    </w:p>
    <w:p>
      <w:pPr>
        <w:pStyle w:val="Heading3"/>
      </w:pPr>
      <w:r>
        <w:t>Sicherheit</w:t>
      </w:r>
    </w:p>
    <w:p>
      <w:pPr>
        <w:jc w:val="left"/>
      </w:pPr>
      <w:r>
        <w:t>Diese Folie wird gesondert dokumentiert, weil sie die Sicherheitserwartung unmittelbar prägt; die Bildunterschrift widerspricht der eigenen Risikobeurteilung.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Welche Kunden haben die Q1-Folien erhalten?</w:t>
      </w:r>
    </w:p>
    <w:p>
      <w:pPr>
        <w:pStyle w:val="ListBullet"/>
      </w:pPr>
      <w:r>
        <w:t>Wurden Autonomie-Aussagen auch vertraglich zugesichert?</w:t>
      </w:r>
    </w:p>
    <w:p>
      <w:pPr>
        <w:pStyle w:val="ListBullet"/>
      </w:pPr>
      <w:r>
        <w:t>Wer hat die Folien inhaltlich verantwortet?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