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EU-Konformitätserklärung Entwurf</w:t>
      </w:r>
    </w:p>
    <w:p>
      <w:pPr>
        <w:jc w:val="left"/>
      </w:pPr>
      <w:r>
        <w:t>Akte: Akte Vellbruck Robotics GmbH — Roboterflotte AtlasCare / LumaMove / Werkbank C7. Stand: 16.06.2026, interne Arbeitsfassung der Kanzlei Hagemann Rottkamp &amp; Partner.</w:t>
      </w:r>
    </w:p>
    <w:p>
      <w:pPr>
        <w:pStyle w:val="Heading2"/>
      </w:pPr>
      <w:r>
        <w:rPr>
          <w:rFonts w:ascii="Times New Roman" w:hAnsi="Times New Roman"/>
        </w:rPr>
        <w:t>Kernaussage</w:t>
      </w:r>
    </w:p>
    <w:p>
      <w:pPr>
        <w:jc w:val="left"/>
      </w:pPr>
      <w:r>
        <w:t>Dieser Vermerk bewertet den Entwurf 0.8 der EU-Konformitätserklärung für die LumaMove-Flotte und legt fest, wie mit der Lücke gegenüber Behörde und Kunden umgegangen wird.</w:t>
      </w:r>
    </w:p>
    <w:p>
      <w:pPr>
        <w:pStyle w:val="Heading2"/>
      </w:pPr>
      <w:r>
        <w:rPr>
          <w:rFonts w:ascii="Times New Roman" w:hAnsi="Times New Roman"/>
        </w:rPr>
        <w:t>Einzelpunkte</w:t>
      </w:r>
    </w:p>
    <w:p>
      <w:pPr>
        <w:pStyle w:val="ListBullet"/>
      </w:pPr>
      <w:r>
        <w:t>Unterzeichner: Zeichnungsberechtigt ist die Geschäftsführung oder ein schriftlich Bevollmächtigter; intern war die Zeichnung zwischen CTO und QM-Leitung ungeklärt.</w:t>
      </w:r>
    </w:p>
    <w:p>
      <w:pPr>
        <w:pStyle w:val="ListBullet"/>
      </w:pPr>
      <w:r>
        <w:t>Normen: Die Normenliste des Entwurfs verweist auf zurückgezogene Fassungen; die aktuelle Liste harmonisierter Normen ist per Livecheck zu verifizieren (Aktenstück 45).</w:t>
      </w:r>
    </w:p>
    <w:p>
      <w:pPr>
        <w:pStyle w:val="ListBullet"/>
      </w:pPr>
      <w:r>
        <w:t>Produkte: Der Entwurf erfasst die Baureihe pauschal, ohne Seriennummernkreise und Softwarestände abzugrenzen; genau diese Abgrenzung verlangt die Behörde.</w:t>
      </w:r>
    </w:p>
    <w:p>
      <w:pPr>
        <w:pStyle w:val="Heading2"/>
      </w:pPr>
      <w:r>
        <w:rPr>
          <w:rFonts w:ascii="Times New Roman" w:hAnsi="Times New Roman"/>
        </w:rPr>
        <w:t>Tatsachenstand</w:t>
      </w:r>
    </w:p>
    <w:p>
      <w:pPr>
        <w:jc w:val="left"/>
      </w:pPr>
      <w:r>
        <w:t>Der Entwurf nennt weder den Unterzeichner noch eine abgeschlossene Normenliste; ausgeliefert wurde die Flotte gleichwohl mit CE-Kennzeichnung, gestützt auf eine ältere Erklärung der Vorgängerbaureihe.</w:t>
      </w:r>
    </w:p>
    <w:p>
      <w:pPr>
        <w:jc w:val="left"/>
      </w:pPr>
      <w:r>
        <w:t>Für die Werkbank C7 existiert eine unterzeichnete Erklärung, deren Normenstand vor dem letzten Softwareupdate liegt.</w:t>
      </w:r>
    </w:p>
    <w:p>
      <w:pPr>
        <w:pStyle w:val="Heading2"/>
      </w:pPr>
      <w:r>
        <w:rPr>
          <w:rFonts w:ascii="Times New Roman" w:hAnsi="Times New Roman"/>
        </w:rPr>
        <w:t>Detailnotizen</w:t>
      </w:r>
    </w:p>
    <w:p>
      <w:pPr>
        <w:pStyle w:val="Heading3"/>
      </w:pPr>
      <w:r>
        <w:t>Unterzeichner</w:t>
      </w:r>
    </w:p>
    <w:p>
      <w:pPr>
        <w:jc w:val="left"/>
      </w:pPr>
      <w:r>
        <w:t>Die Geschäftsführung benennt den Unterzeichner durch dokumentierten Beschluss; die Bevollmächtigung wird der Produktakte beigefügt.</w:t>
      </w:r>
    </w:p>
    <w:p>
      <w:pPr>
        <w:pStyle w:val="Heading3"/>
      </w:pPr>
      <w:r>
        <w:t>Normen</w:t>
      </w:r>
    </w:p>
    <w:p>
      <w:pPr>
        <w:jc w:val="left"/>
      </w:pPr>
      <w:r>
        <w:t>Die Normenrecherche wird vor Unterzeichnung abgeschlossen; Abweichungen vom Stand der Technik werden als Restrisiken in der Risikobeurteilung begründet.</w:t>
      </w:r>
    </w:p>
    <w:p>
      <w:pPr>
        <w:pStyle w:val="Heading3"/>
      </w:pPr>
      <w:r>
        <w:t>Produkte</w:t>
      </w:r>
    </w:p>
    <w:p>
      <w:pPr>
        <w:jc w:val="left"/>
      </w:pPr>
      <w:r>
        <w:t>Die finale Erklärung nennt Baureihe, Seriennummernkreis und freigegebenen Softwarestand; für Bestandsgeräte wird der Stand über VellNet Control erhoben.</w:t>
      </w:r>
    </w:p>
    <w:p>
      <w:pPr>
        <w:pStyle w:val="Heading2"/>
      </w:pPr>
      <w:r>
        <w:rPr>
          <w:rFonts w:ascii="Times New Roman" w:hAnsi="Times New Roman"/>
        </w:rPr>
        <w:t>Offene Rückfragen</w:t>
      </w:r>
    </w:p>
    <w:p>
      <w:pPr>
        <w:pStyle w:val="ListBullet"/>
      </w:pPr>
      <w:r>
        <w:t>Auf welche Erklärung stützte sich die bisherige CE-Kennzeichnung konkret?</w:t>
      </w:r>
    </w:p>
    <w:p>
      <w:pPr>
        <w:pStyle w:val="ListBullet"/>
      </w:pPr>
      <w:r>
        <w:t>Welche Normfassungen sind aktuell gelistet?</w:t>
      </w:r>
    </w:p>
    <w:p>
      <w:pPr>
        <w:pStyle w:val="ListBullet"/>
      </w:pPr>
      <w:r>
        <w:t>Wie wird der Softwarestand der Bestandsflotte zuverlässig erhoben?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