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Sicherheitsfunktionen im KI-Modul</w:t>
      </w:r>
    </w:p>
    <w:p>
      <w:pPr>
        <w:jc w:val="left"/>
      </w:pPr>
      <w:r>
        <w:t>Akte: Akte Vellbruck Robotics GmbH — Roboterflotte AtlasCare / LumaMove / Werkbank C7. Stand: 17.06.2026,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beschreibt die Architektur der Sicherheitsfunktionen der LumaMove-Einheiten und klärt, ob KI-Ausgaben sicherheitsrelevant durchgreifen. Die Antwort steuert KI-VO-Einstufung und Validierungsumfang.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Safety: Not-Halt und Schutzfeldstopp laufen über eine zertifizierte Sicherheitssteuerung; die Parameter des Schutzfeldes sind jedoch konfigurierbar und wurden am Unfalltag reduziert.</w:t>
      </w:r>
    </w:p>
    <w:p>
      <w:pPr>
        <w:pStyle w:val="ListBullet"/>
      </w:pPr>
      <w:r>
        <w:t>KI: Die Objekterkennung klassifiziert Hindernisse und Personen; ihre Ausgabe beeinflusst Geschwindigkeit und Route, nicht aber den Not-Halt.</w:t>
      </w:r>
    </w:p>
    <w:p>
      <w:pPr>
        <w:pStyle w:val="ListBullet"/>
      </w:pPr>
      <w:r>
        <w:t>Sensorfusion: Lidar, Kamera und Odometrie werden fusioniert; bei Sensorkonflikt gilt die konservativste Quelle, so die Spezifikation.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Schutzfeldüberwachung arbeitet nach Herstellerangabe deterministisch über die OptiSense-Sensorik; die KI-Objekterkennung liefert Zusatzinformationen für Routenwahl und Geschwindigkeitsprofil.</w:t>
      </w:r>
    </w:p>
    <w:p>
      <w:pPr>
        <w:jc w:val="left"/>
      </w:pPr>
      <w:r>
        <w:t>Im Eventlog vom 27.05.2026 finden sich Geschwindigkeitswerte bis 1,22 m/s in Zonen mit Personenverkehr; ob das Geschwindigkeitsprofil KI-gesteuert erhöht wurde, ist offen.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Safety</w:t>
      </w:r>
    </w:p>
    <w:p>
      <w:pPr>
        <w:jc w:val="left"/>
      </w:pPr>
      <w:r>
        <w:t>Die Trennung zwischen zertifizierter Stoppfunktion und konfigurierbarem Schutzfeld wird schaltplangenau dokumentiert; sie ist das Kernargument gegen eine pauschale Hochrisiko-Einstufung.</w:t>
      </w:r>
    </w:p>
    <w:p>
      <w:pPr>
        <w:pStyle w:val="Heading3"/>
      </w:pPr>
      <w:r>
        <w:t>KI</w:t>
      </w:r>
    </w:p>
    <w:p>
      <w:pPr>
        <w:jc w:val="left"/>
      </w:pPr>
      <w:r>
        <w:t>Zu verifizieren ist, ob die Personenklassifikation das Geschwindigkeitsprofil in belegten Zonen anheben kann; die Testfälle definiert der Sachverständige.</w:t>
      </w:r>
    </w:p>
    <w:p>
      <w:pPr>
        <w:pStyle w:val="Heading3"/>
      </w:pPr>
      <w:r>
        <w:t>Sensorfusion</w:t>
      </w:r>
    </w:p>
    <w:p>
      <w:pPr>
        <w:jc w:val="left"/>
      </w:pPr>
      <w:r>
        <w:t>Die Konfliktregel wird gegen die Logdaten des 27.05.2026 geprüft; Abweichungen wären ein eigenständiger Produktfehler.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Kann die KI-Ausgabe das Geschwindigkeitsprofil in Personenzonen erhöhen?</w:t>
      </w:r>
    </w:p>
    <w:p>
      <w:pPr>
        <w:pStyle w:val="ListBullet"/>
      </w:pPr>
      <w:r>
        <w:t>Welche Sicherheitsnorm deckt die konfigurierbaren Schutzfelder ab?</w:t>
      </w:r>
    </w:p>
    <w:p>
      <w:pPr>
        <w:pStyle w:val="ListBullet"/>
      </w:pPr>
      <w:r>
        <w:t>Wie verhielt sich die Sensorfusion unmittelbar vor der Kollision?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