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Post-Market-Monitoring-Plan</w:t>
      </w:r>
    </w:p>
    <w:p>
      <w:pPr>
        <w:jc w:val="left"/>
      </w:pPr>
      <w:r>
        <w:t>Akte: Akte Vellbruck Robotics GmbH — Roboterflotte AtlasCare / LumaMove / Werkbank C7. Stand: 19.06.2026,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Plan organisiert die Marktbeobachtung nach Inverkehrbringen für alle Vellbruck-Produkte. Er verknüpft Vorfallserfassung, Reklamationen und Trendanalyse mit den Melde- und Korrekturprozessen.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Vorfälle: Sicherheitsrelevante Events (Not-Halt, near miss, Schutzfeldänderung) werden künftig automatisch aus VellNet Control in ein Vorfallsregister übernommen.</w:t>
      </w:r>
    </w:p>
    <w:p>
      <w:pPr>
        <w:pStyle w:val="ListBullet"/>
      </w:pPr>
      <w:r>
        <w:t>Reklamationen: Kundenreklamationen zu Sicherheitsthemen liefen bisher über den Vertrieb und erreichten QM verspätet oder gar nicht.</w:t>
      </w:r>
    </w:p>
    <w:p>
      <w:pPr>
        <w:pStyle w:val="ListBullet"/>
      </w:pPr>
      <w:r>
        <w:t>Trends: Eine Trendauswertung über Flotten, Softwarestände und Einsatzumgebungen existiert nicht; Häufungen wie die Schutzfeld-Events wären bisher nicht aufgefallen.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Bisher wurden Vorfälle dezentral im Ticketsystem des Supports erfasst; die zwei Beinaheunfälle vom 27.05.2026 (08:20 Uhr und 09:00 Uhr) erschienen dort nur als technische Events ohne Sicherheitskennzeichnung.</w:t>
      </w:r>
    </w:p>
    <w:p>
      <w:pPr>
        <w:jc w:val="left"/>
      </w:pPr>
      <w:r>
        <w:t>Der Versicherer und die Marktüberwachung erwarten eine nachvollziehbare Vorfallshistorie; deren Fehlen wäre bei Offenlegung ein eigenes Risiko.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Vorfälle</w:t>
      </w:r>
    </w:p>
    <w:p>
      <w:pPr>
        <w:jc w:val="left"/>
      </w:pPr>
      <w:r>
        <w:t>Das Register erhält Schweregrade und Eskalationsschwellen; die Events des 27.05.2026 werden rückwirkend eingepflegt und bewertet.</w:t>
      </w:r>
    </w:p>
    <w:p>
      <w:pPr>
        <w:pStyle w:val="Heading3"/>
      </w:pPr>
      <w:r>
        <w:t>Reklamationen</w:t>
      </w:r>
    </w:p>
    <w:p>
      <w:pPr>
        <w:jc w:val="left"/>
      </w:pPr>
      <w:r>
        <w:t>Reklamationen mit Sicherheitsbezug gehen künftig unmittelbar an QM und Recht; der Vertrieb erhält eine Abgrenzungsliste mit Beispielen.</w:t>
      </w:r>
    </w:p>
    <w:p>
      <w:pPr>
        <w:pStyle w:val="Heading3"/>
      </w:pPr>
      <w:r>
        <w:t>Trends</w:t>
      </w:r>
    </w:p>
    <w:p>
      <w:pPr>
        <w:jc w:val="left"/>
      </w:pPr>
      <w:r>
        <w:t>Die Quartalsauswertung wird als fester Bericht an die Geschäftsführung etabliert; erste Auswertung zum 30.06.2026 mit Fokus auf Schutzfeld- und Override-Events.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Events gelten rückwirkend als meldepflichtige Vorfälle?</w:t>
      </w:r>
    </w:p>
    <w:p>
      <w:pPr>
        <w:pStyle w:val="ListBullet"/>
      </w:pPr>
      <w:r>
        <w:t>Wie werden Betreiber zur Vorfallsmeldung vertraglich verpflichtet?</w:t>
      </w:r>
    </w:p>
    <w:p>
      <w:pPr>
        <w:pStyle w:val="ListBullet"/>
      </w:pPr>
      <w:r>
        <w:t>Wer verantwortet die Quartalsauswertung?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