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Field-Action-Plan Patch 2.7.1</w:t>
      </w:r>
    </w:p>
    <w:p>
      <w:pPr>
        <w:jc w:val="left"/>
      </w:pPr>
      <w:r>
        <w:t>Akte: Akte Vellbruck Robotics GmbH — Roboterflotte AtlasCare / LumaMove / Werkbank C7. Stand: 20.06.2026,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Plan beschreibt die Field Action zu Patch 2.7.1: Reihenfolge, Validierung, Kundeninformation und Dokumentation. Er ist die mildere Alternative zum Rückruf und muss gegenüber Behörde und Versicherer tragen.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Patch: Patch 2.7.1 kombiniert Security-Fix (Updatekanal), Konfigurationssperre und geänderte Sicherheitsparameter; die drei Teile sind getrennt ausrollbar.</w:t>
      </w:r>
    </w:p>
    <w:p>
      <w:pPr>
        <w:pStyle w:val="ListBullet"/>
      </w:pPr>
      <w:r>
        <w:t>Kunden: Betroffen sind elf Flottenkunden und vier Werkbank-Kunden; drei Kunden hängen noch am Legacy-Kanal.</w:t>
      </w:r>
    </w:p>
    <w:p>
      <w:pPr>
        <w:pStyle w:val="ListBullet"/>
      </w:pPr>
      <w:r>
        <w:t>Validierung: Die verkürzte Validierung umfasst Messreihen an zwei Referenzeinheiten und Regressionstests der Sicherheitssteuerung; sie ersetzt nicht die vollständige Revalidierung der Baureihe.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Stufe 1 sperrt das Admin-Menü für Betreiberrollen per Konfigurationsupdate; Stufe 2 schließt den Legacy-Updatekanal; Stufe 3 spielt die überarbeiteten Sicherheitsparameter nach verkürzter Validierung ein.</w:t>
      </w:r>
    </w:p>
    <w:p>
      <w:pPr>
        <w:jc w:val="left"/>
      </w:pPr>
      <w:r>
        <w:t>Für Stufe 3 fehlt noch die Validierungsmessung der Kraft- und Schutzfeldfunktionen; der Kunde hat das Wartungsfenster noch nicht bestätigt.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Patch</w:t>
      </w:r>
    </w:p>
    <w:p>
      <w:pPr>
        <w:jc w:val="left"/>
      </w:pPr>
      <w:r>
        <w:t>Der getrennte Rollout wird beibehalten, damit der Security-Teil nicht auf die Validierung der Sicherheitsparameter warten muss; die Paketierung bestätigt Rodenwald.</w:t>
      </w:r>
    </w:p>
    <w:p>
      <w:pPr>
        <w:pStyle w:val="Heading3"/>
      </w:pPr>
      <w:r>
        <w:t>Kunden</w:t>
      </w:r>
    </w:p>
    <w:p>
      <w:pPr>
        <w:jc w:val="left"/>
      </w:pPr>
      <w:r>
        <w:t>Jeder Kunde erhält ein individualisiertes Anschreiben mit Zeitplan und Übergangsmaßnahmen; Muster ist Aktenstück 52, Versand über den Support mit Lesebestätigung.</w:t>
      </w:r>
    </w:p>
    <w:p>
      <w:pPr>
        <w:pStyle w:val="Heading3"/>
      </w:pPr>
      <w:r>
        <w:t>Validierung</w:t>
      </w:r>
    </w:p>
    <w:p>
      <w:pPr>
        <w:jc w:val="left"/>
      </w:pPr>
      <w:r>
        <w:t>Die Prüfstelle dokumentiert Messaufbau und Ergebnisse so, dass sie der Behörde vorgelegt werden können; ohne bestandene Messung bleibt Stufe 3 gesperrt.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Bestätigen alle Kunden die Wartungsfenster rechtzeitig?</w:t>
      </w:r>
    </w:p>
    <w:p>
      <w:pPr>
        <w:pStyle w:val="ListBullet"/>
      </w:pPr>
      <w:r>
        <w:t>Genügt die verkürzte Validierung der Behörde als Korrekturmaßnahme?</w:t>
      </w:r>
    </w:p>
    <w:p>
      <w:pPr>
        <w:pStyle w:val="ListBullet"/>
      </w:pPr>
      <w:r>
        <w:t>Wie werden Legacy-Kunden ohne Funktionsverlust migriert?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