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Safety-Gate-Check und öffentliche Warnung</w:t>
      </w:r>
    </w:p>
    <w:p>
      <w:pPr>
        <w:jc w:val="left"/>
      </w:pPr>
      <w:r>
        <w:t>Akte: Akte Vellbruck Robotics GmbH — Roboterflotte AtlasCare / LumaMove / Werkbank C7. Stand: 21.06.2026,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Check prüft, ob der Vorfall vom 27.05.2026 die Schwelle zu einer aktiven Warnung oder Meldung überschreitet. Er legt Meldeweg, Sprache und Verantwortliche fest, bevor Dritte kommunizieren.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Meldeschwelle: Ein ernstes Risiko liegt nahe, wenn sich die Schutzfeldreduzierung ohne Betreiberzutun reproduzieren lässt; dann ist die Behörde aktiv zu informieren, nicht nur auf Anforderung zu antworten.</w:t>
      </w:r>
    </w:p>
    <w:p>
      <w:pPr>
        <w:pStyle w:val="ListBullet"/>
      </w:pPr>
      <w:r>
        <w:t>Sprache: Jede Formulierung gegenüber Behörde und Kunden muss zwischen gesichertem Logbefund und streitiger Wertung trennen; das Wort Rückruf wird nur für die formale Maßnahme verwendet.</w:t>
      </w:r>
    </w:p>
    <w:p>
      <w:pPr>
        <w:pStyle w:val="ListBullet"/>
      </w:pPr>
      <w:r>
        <w:t>Risiko: Bis zur Sperrung des Admin-Menüs besteht das Manipulationsrisiko bei allen elf Flottenkunden fort; das ist der kritischste offene Punkt.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Meldepflichten kommen gegenüber der Marktüberwachung (ernstes Risiko), dem Versicherer (Obliegenheiten) und den Kunden (Produktbeobachtung) in Betracht; die Unfallverursachung ist zwischen Produktlücke und Betreiberänderung streitig.</w:t>
      </w:r>
    </w:p>
    <w:p>
      <w:pPr>
        <w:jc w:val="left"/>
      </w:pPr>
      <w:r>
        <w:t>Der Betreiber hat den Unfall bereits seiner Berufsgenossenschaft gemeldet; damit ist der Vorfall aktenkundig und eine abgestimmte eigene Kommunikationslinie dringlich.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Meldeschwelle</w:t>
      </w:r>
    </w:p>
    <w:p>
      <w:pPr>
        <w:jc w:val="left"/>
      </w:pPr>
      <w:r>
        <w:t>Der Reproduktionstest an einer Referenzeinheit wird vor dem 12.06.2026 durchgeführt; das Ergebnis entscheidet zwischen Antwortschreiben und aktiver Meldung.</w:t>
      </w:r>
    </w:p>
    <w:p>
      <w:pPr>
        <w:pStyle w:val="Heading3"/>
      </w:pPr>
      <w:r>
        <w:t>Sprache</w:t>
      </w:r>
    </w:p>
    <w:p>
      <w:pPr>
        <w:jc w:val="left"/>
      </w:pPr>
      <w:r>
        <w:t>Sprachregelung: Beschrieben werden Events mit Zeitstempel und Konto, nicht Schuldzuweisungen; die Formulierungen gibt die Kanzlei frei, Basis ist das Q&amp;A in Aktenstück 41.</w:t>
      </w:r>
    </w:p>
    <w:p>
      <w:pPr>
        <w:pStyle w:val="Heading3"/>
      </w:pPr>
      <w:r>
        <w:t>Risiko</w:t>
      </w:r>
    </w:p>
    <w:p>
      <w:pPr>
        <w:jc w:val="left"/>
      </w:pPr>
      <w:r>
        <w:t>Die Konfigurationssperre (Stufe 1 der Field Action) wird deshalb vor jeder weiteren Kommunikation ausgerollt; Vollzug meldet Rodenwald mit Datum je Kunde.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Lässt sich die Schutzfeldreduzierung ohne Betreiberzutun reproduzieren?</w:t>
      </w:r>
    </w:p>
    <w:p>
      <w:pPr>
        <w:pStyle w:val="ListBullet"/>
      </w:pPr>
      <w:r>
        <w:t>Ist nach der BG-Meldung des Betreibers eine eigene Behördenmeldung geboten?</w:t>
      </w:r>
    </w:p>
    <w:p>
      <w:pPr>
        <w:pStyle w:val="ListBullet"/>
      </w:pPr>
      <w:r>
        <w:t>Wann ist Stufe 1 bei allen elf Kunden vollzogen?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