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DSFA-Entwurf AtlasCare</w:t>
      </w:r>
    </w:p>
    <w:p>
      <w:pPr>
        <w:jc w:val="left"/>
      </w:pPr>
      <w:r>
        <w:t>Akte: Akte Vellbruck Robotics GmbH — Roboterflotte AtlasCare / LumaMove / Werkbank C7. Stand: 27.06.2026,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Entwurf überarbeitet die Datenschutz-Folgenabschätzung für den AtlasCare-Piloten in der Ludgerus-Klinik. Er schließt die Lücken der Fassung vom 02.05.2026.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Patienten: Für Patienten sind Sturzerkennung und Zimmerkamera die eingriffsintensivsten Verarbeitungen; die Ereignissteuerung der Kamera ist nachzuweisen, nicht nur zu behaupten.</w:t>
      </w:r>
    </w:p>
    <w:p>
      <w:pPr>
        <w:pStyle w:val="ListBullet"/>
      </w:pPr>
      <w:r>
        <w:t>Pflegekräfte: Die Indikatorfunktionen verarbeiten Verhaltensdaten der Beschäftigten; ohne Rechtsgrundlage und Information ist diese Verarbeitung nicht zu halten.</w:t>
      </w:r>
    </w:p>
    <w:p>
      <w:pPr>
        <w:pStyle w:val="ListBullet"/>
      </w:pPr>
      <w:r>
        <w:t>Risiko: Restrisiken bleiben bei Zweckänderung durch Klinikpersonal und bei Ferndiagnosezugriffen; beide sind in der Fassung vom 02.05.2026 nicht behandelt.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Die Fassung vom 02.05.2026 bewertet die Kamera, lässt aber Mikrofonie, Emotionsindikatoren und die Beschäftigtendaten der Pflegekräfte unbewertet; die Betroffeneninformation der Pflegekräfte fehlt.</w:t>
      </w:r>
    </w:p>
    <w:p>
      <w:pPr>
        <w:jc w:val="left"/>
      </w:pPr>
      <w:r>
        <w:t>Die Rollen sind zu fixieren: Die Klinik ist Verantwortliche des Pilotbetriebs, Vellbruck Auftragsverarbeiterin mit eigener Verantwortlichkeit für Produkttelemetrie.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Patienten</w:t>
      </w:r>
    </w:p>
    <w:p>
      <w:pPr>
        <w:jc w:val="left"/>
      </w:pPr>
      <w:r>
        <w:t>Der Nachweis erfolgt über die technische Beschreibung des Entwicklungsteams und einen dokumentierten Funktionstest; beides wird Anlage der DSFA.</w:t>
      </w:r>
    </w:p>
    <w:p>
      <w:pPr>
        <w:pStyle w:val="Heading3"/>
      </w:pPr>
      <w:r>
        <w:t>Pflegekräfte</w:t>
      </w:r>
    </w:p>
    <w:p>
      <w:pPr>
        <w:jc w:val="left"/>
      </w:pPr>
      <w:r>
        <w:t>Die Funktion bleibt deaktiviert; für einen späteren Betrieb werden Betriebsvereinbarung der Klinik und Einwilligungskonzept geprüft.</w:t>
      </w:r>
    </w:p>
    <w:p>
      <w:pPr>
        <w:pStyle w:val="Heading3"/>
      </w:pPr>
      <w:r>
        <w:t>Risiko</w:t>
      </w:r>
    </w:p>
    <w:p>
      <w:pPr>
        <w:jc w:val="left"/>
      </w:pPr>
      <w:r>
        <w:t>Beide Szenarien erhalten eigene Risikobewertungen mit Maßnahmen (Rollenkonzept, Protokollierung); die überarbeitete DSFA geht der Klinik bis 15.06.2026 zu.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Bestätigt der Funktionstest die reine Ereignissteuerung der Kamera?</w:t>
      </w:r>
    </w:p>
    <w:p>
      <w:pPr>
        <w:pStyle w:val="ListBullet"/>
      </w:pPr>
      <w:r>
        <w:t>Welche Rechtsgrundlage trägt einen späteren Indikatorbetrieb?</w:t>
      </w:r>
    </w:p>
    <w:p>
      <w:pPr>
        <w:pStyle w:val="ListBullet"/>
      </w:pPr>
      <w:r>
        <w:t>Übernimmt die Klinik die DSFA als eigene oder verlangt sie eine gemeinsame?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