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Unterweisung Lagerpersonal</w:t>
      </w:r>
    </w:p>
    <w:p>
      <w:pPr>
        <w:jc w:val="left"/>
      </w:pPr>
      <w:r>
        <w:t>Akte: Akte Vellbruck Robotics GmbH — Roboterflotte AtlasCare / LumaMove / Werkbank C7. Stand: 29.06.2026,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bewertet den Unterweisungsstand des Lagerpersonals in Halle 12 und die Verantwortungsverteilung zwischen Betreiber und Vellbruck für Schulungsinhalte.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Betrieb: Die Unterweisungspflicht im laufenden Betrieb trifft den Betreiber; Vellbruck schuldet geeignete Schulungsgrundlagen als Teil der Instruktion.</w:t>
      </w:r>
    </w:p>
    <w:p>
      <w:pPr>
        <w:pStyle w:val="ListBullet"/>
      </w:pPr>
      <w:r>
        <w:t>Schulung: Die Schulungsunterlagen decken Normalbetrieb und Störungsquittierung ab, nicht aber die Gefahrlagen des Unfalltags (reduziertes Schutzfeld, erhöhte Taktung).</w:t>
      </w:r>
    </w:p>
    <w:p>
      <w:pPr>
        <w:pStyle w:val="ListBullet"/>
      </w:pPr>
      <w:r>
        <w:t>Betriebsanweisung: Eine hallenbezogene Betriebsanweisung für den Mischverkehr existiert nur als Aushang von 2025 ohne AMR-Bezug.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letzte dokumentierte Unterweisung datiert vom 14.02.2026 und erfasste Schichtteam A; Schichtteam B, dem der Verletzte angehört, fehlt im Nachweis.</w:t>
      </w:r>
    </w:p>
    <w:p>
      <w:pPr>
        <w:jc w:val="left"/>
      </w:pPr>
      <w:r>
        <w:t>Die Schulungsunterlagen stammen von Vellbruck, erwähnen aber weder das Admin-Menü noch das Verhalten bei reduziertem Schutzfeld.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Betrieb</w:t>
      </w:r>
    </w:p>
    <w:p>
      <w:pPr>
        <w:jc w:val="left"/>
      </w:pPr>
      <w:r>
        <w:t>Die Verantwortungsteilung wird schriftlich fixiert; für den Haftungsfall wird dokumentiert, welche Unterlagen Vellbruck wann übergeben hat.</w:t>
      </w:r>
    </w:p>
    <w:p>
      <w:pPr>
        <w:pStyle w:val="Heading3"/>
      </w:pPr>
      <w:r>
        <w:t>Schulung</w:t>
      </w:r>
    </w:p>
    <w:p>
      <w:pPr>
        <w:jc w:val="left"/>
      </w:pPr>
      <w:r>
        <w:t>Die Unterlagen werden um genau diese Szenarien ergänzt und dem Betreiber mit Nachweis übergeben; die Ergänzung wird Teil der Field-Action-Dokumentation.</w:t>
      </w:r>
    </w:p>
    <w:p>
      <w:pPr>
        <w:pStyle w:val="Heading3"/>
      </w:pPr>
      <w:r>
        <w:t>Betriebsanweisung</w:t>
      </w:r>
    </w:p>
    <w:p>
      <w:pPr>
        <w:jc w:val="left"/>
      </w:pPr>
      <w:r>
        <w:t>Dem Betreiber wird ein Muster für eine AMR-Betriebsanweisung bereitgestellt; die Verantwortung für Erlass und Aushang verbleibt bei ihm.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Warum fehlt Schichtteam B im Unterweisungsnachweis?</w:t>
      </w:r>
    </w:p>
    <w:p>
      <w:pPr>
        <w:pStyle w:val="ListBullet"/>
      </w:pPr>
      <w:r>
        <w:t>Wann wurden die Schulungsunterlagen dem Betreiber zuletzt aktualisiert übergeben?</w:t>
      </w:r>
    </w:p>
    <w:p>
      <w:pPr>
        <w:pStyle w:val="ListBullet"/>
      </w:pPr>
      <w:r>
        <w:t>Existiert eine Gefährdungsbeurteilung des Betreibers für den Mischverkehr?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