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Beschaffung Klinik und Lastenheft</w:t>
      </w:r>
    </w:p>
    <w:p>
      <w:pPr>
        <w:jc w:val="left"/>
      </w:pPr>
      <w:r>
        <w:t>Akte: Akte Vellbruck Robotics GmbH — Roboterflotte AtlasCare / LumaMove / Werkbank C7. Stand: 34.06.2026,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behandelt die vergaberechtlichen Fragen des geplanten Rollouts von AtlasCare an kommunale Kliniken. Der laufende Pilot in der Ludgerus-Klinik darf die spätere Ausschreibung nicht präjudizieren.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Vergabe: Bei einem späteren Verfahren wäre Vellbruck als vorbefasstes Unternehmen offenzulegen; der Auftraggeber müsste Ausgleichsmaßnahmen dokumentieren.</w:t>
      </w:r>
    </w:p>
    <w:p>
      <w:pPr>
        <w:pStyle w:val="ListBullet"/>
      </w:pPr>
      <w:r>
        <w:t>Kriterien: Zuschlagskriterien wie Datenschutzkonzept, Validierungsnachweise und Servicezeiten kann Vellbruck aus dem Pilot belegen; reine Autonomie-Versprechen wären nach der Marketing-Erfahrung riskant.</w:t>
      </w:r>
    </w:p>
    <w:p>
      <w:pPr>
        <w:pStyle w:val="ListBullet"/>
      </w:pPr>
      <w:r>
        <w:t>Abnahme: Die Teststellung enthält keine Abnahmeregeln; für den Rollout sind Abnahmekriterien und Gewährleistungsbeginn zu definieren.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Zwei kommunale Klinikträger haben Interesse am Rollout signalisiert; der Beschaffungswert läge oberhalb der Schwellenwerte, sodass ein europaweites Verfahren erforderlich würde.</w:t>
      </w:r>
    </w:p>
    <w:p>
      <w:pPr>
        <w:jc w:val="left"/>
      </w:pPr>
      <w:r>
        <w:t>Der Pilot läuft als unentgeltliche Teststellung; die dabei gewonnenen Spezifikationskenntnisse könnten Vellbruck als Vorbefassung zugerechnet werden.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Vergabe</w:t>
      </w:r>
    </w:p>
    <w:p>
      <w:pPr>
        <w:jc w:val="left"/>
      </w:pPr>
      <w:r>
        <w:t>Für die Interessenten wird ein neutraler Leistungskatalog vorbereitet, der auch Wettbewerbern die Angebotserstellung ermöglicht; das entschärft die Vorbefassung.</w:t>
      </w:r>
    </w:p>
    <w:p>
      <w:pPr>
        <w:pStyle w:val="Heading3"/>
      </w:pPr>
      <w:r>
        <w:t>Kriterien</w:t>
      </w:r>
    </w:p>
    <w:p>
      <w:pPr>
        <w:jc w:val="left"/>
      </w:pPr>
      <w:r>
        <w:t>Die Referenzdokumentation aus dem Pilot wird so aufbereitet, dass jede Aussage durch Produktakte oder Messung belegt ist.</w:t>
      </w:r>
    </w:p>
    <w:p>
      <w:pPr>
        <w:pStyle w:val="Heading3"/>
      </w:pPr>
      <w:r>
        <w:t>Abnahme</w:t>
      </w:r>
    </w:p>
    <w:p>
      <w:pPr>
        <w:jc w:val="left"/>
      </w:pPr>
      <w:r>
        <w:t>Ein Abnahmeprotokoll-Muster mit Funktions- und Datenschutztests wird dem Vertragsmuster beigefügt.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Planen die Träger ein offenes oder Verhandlungsverfahren?</w:t>
      </w:r>
    </w:p>
    <w:p>
      <w:pPr>
        <w:pStyle w:val="ListBullet"/>
      </w:pPr>
      <w:r>
        <w:t>Welche Pilotdaten dürfen in die Referenzdokumentation?</w:t>
      </w:r>
    </w:p>
    <w:p>
      <w:pPr>
        <w:pStyle w:val="ListBullet"/>
      </w:pPr>
      <w:r>
        <w:t>Wie wird die Vorbefassung gegenüber dem Auftraggeber offengelegt?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