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Arbeitsschutz und Gefährdungsbeurteilung</w:t>
      </w:r>
    </w:p>
    <w:p>
      <w:pPr>
        <w:jc w:val="left"/>
      </w:pPr>
      <w:r>
        <w:t>Akte: Akte Vellbruck Robotics GmbH — Roboterflotte AtlasCare / LumaMove / Werkbank C7. Stand: 35.06.2026,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bewertet die arbeitsschutzrechtliche Lage in Halle 12 nach dem Unfall. Er trennt die Pflichten des Betreibers als Arbeitgeber von der Produktverantwortung von Vellbruck.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Betrieb: Die Aktualisierung der Gefährdungsbeurteilung und die Unterweisung sind Arbeitgeberpflichten des Betreibers; Vellbruck liefert die sicherheitstechnischen Kenndaten zu.</w:t>
      </w:r>
    </w:p>
    <w:p>
      <w:pPr>
        <w:pStyle w:val="ListBullet"/>
      </w:pPr>
      <w:r>
        <w:t>Verkehrswege: Die zwei Engstellen ohne Markierung sind der wiederkehrende Gefahrenort; kurzfristig helfen Einbahnregelung und Geschwindigkeitsreduzierung per Zonenkonfiguration.</w:t>
      </w:r>
    </w:p>
    <w:p>
      <w:pPr>
        <w:pStyle w:val="ListBullet"/>
      </w:pPr>
      <w:r>
        <w:t>Prüfung: Für die AMR-Flotte fehlt die wiederkehrende Prüfung als Arbeitsmittel; Prüffristen und Prüftiefe sind zwischen den Parteien nicht geregelt.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Die Gefährdungsbeurteilung des Betreibers stammt aus 2025 und erfasst den AMR-Mischverkehr nicht; die Berufsgenossenschaft hat nach der Unfallmeldung eine Besichtigung angekündigt.</w:t>
      </w:r>
    </w:p>
    <w:p>
      <w:pPr>
        <w:jc w:val="left"/>
      </w:pPr>
      <w:r>
        <w:t>Die Verkehrswege in Halle 12 sind für Mischverkehr nicht markiert; die Beinahekollisionen vom 27.05.2026 ereigneten sich an denselben zwei Engstellen.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Betrieb</w:t>
      </w:r>
    </w:p>
    <w:p>
      <w:pPr>
        <w:jc w:val="left"/>
      </w:pPr>
      <w:r>
        <w:t>Die Kenndaten (Schutzfeldgeometrie, Bremswege, Warnsignale) werden dem Betreiber als Datenblatt übergeben; die Übergabe wird für den Haftungsfall dokumentiert.</w:t>
      </w:r>
    </w:p>
    <w:p>
      <w:pPr>
        <w:pStyle w:val="Heading3"/>
      </w:pPr>
      <w:r>
        <w:t>Verkehrswege</w:t>
      </w:r>
    </w:p>
    <w:p>
      <w:pPr>
        <w:jc w:val="left"/>
      </w:pPr>
      <w:r>
        <w:t>Die Zonenkonfiguration wird als Sofortmaßnahme angeboten und protokolliert; die bauliche Markierung obliegt dem Betreiber.</w:t>
      </w:r>
    </w:p>
    <w:p>
      <w:pPr>
        <w:pStyle w:val="Heading3"/>
      </w:pPr>
      <w:r>
        <w:t>Prüfung</w:t>
      </w:r>
    </w:p>
    <w:p>
      <w:pPr>
        <w:jc w:val="left"/>
      </w:pPr>
      <w:r>
        <w:t>Ein Prüfkonzept (jährliche Prüfung, Prüfumfang, Verantwortliche) wird in den Wartungsvertrag aufgenommen.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Wann findet die BG-Besichtigung statt und wer nimmt teil?</w:t>
      </w:r>
    </w:p>
    <w:p>
      <w:pPr>
        <w:pStyle w:val="ListBullet"/>
      </w:pPr>
      <w:r>
        <w:t>Setzt der Betreiber die Zonenkonfiguration an den Engstellen um?</w:t>
      </w:r>
    </w:p>
    <w:p>
      <w:pPr>
        <w:pStyle w:val="ListBullet"/>
      </w:pPr>
      <w:r>
        <w:t>Wer prüft die Flotte künftig als Arbeitsmittel?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