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Beweismatrix Unfall</w:t>
      </w:r>
    </w:p>
    <w:p>
      <w:pPr>
        <w:jc w:val="left"/>
      </w:pPr>
      <w:r>
        <w:t>Akte: Akte Vellbruck Robotics GmbH — Roboterflotte AtlasCare / LumaMove / Werkbank C7. Stand: 37.06.2026,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Matrix ordnet jedem streitigen Punkt des Unfallkomplexes die vorhandenen Beweismittel, ihre Fundstelle und ihre Beweisrichtung zu. Sie wird mit jedem neuen Dokument fortgeschrieben.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Beweise: Für die Urheberschaft der Änderungen sprechen die remote-admin-Einträge; gegen eine Zuordnung zu Vellbruck spricht bislang nichts Positives, die Kontenzuordnung fehlt aber.</w:t>
      </w:r>
    </w:p>
    <w:p>
      <w:pPr>
        <w:pStyle w:val="ListBullet"/>
      </w:pPr>
      <w:r>
        <w:t>Zeugen: In Betracht kommen der Schichtleiter (Taktung, Leitstandbesetzung), zwei Kollegen des Verletzten (Hergang) und der Schärlein-Techniker (Remotesitzungen).</w:t>
      </w:r>
    </w:p>
    <w:p>
      <w:pPr>
        <w:pStyle w:val="ListBullet"/>
      </w:pPr>
      <w:r>
        <w:t>Dokumente: Die E-Mail des Betreibers vom 30.05.2026 enthält das Eingeständnis der Menünutzung und ist das stärkste Dokument für die Mitverantwortung.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Streitige Kernpunkte sind die Urheberschaft der Schutzfeldänderungen, der Kollisionszeitpunkt, der Unterweisungsstand des Verletzten und die Erkennbarkeit der Gefahr für den Bediener.</w:t>
      </w:r>
    </w:p>
    <w:p>
      <w:pPr>
        <w:jc w:val="left"/>
      </w:pPr>
      <w:r>
        <w:t>Beweismittel liegen verteilt vor: Eventlog und Konfigurationshistorie (VellNet Control), Hallenvideo (Betreiber), Unterweisungsnachweise (Betreiber), Wartungsprotokolle (Schärlein), E-Mail des Betreibers vom 30.05.2026 mit Eingeständnis der Menünutzung.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Beweise</w:t>
      </w:r>
    </w:p>
    <w:p>
      <w:pPr>
        <w:jc w:val="left"/>
      </w:pPr>
      <w:r>
        <w:t>Die Kontenzuordnung ist der wichtigste offene Beweisschritt; IP- und Sessiondaten sind angefordert, die Antwortfrist läuft am 10.06.2026 ab.</w:t>
      </w:r>
    </w:p>
    <w:p>
      <w:pPr>
        <w:pStyle w:val="Heading3"/>
      </w:pPr>
      <w:r>
        <w:t>Zeugen</w:t>
      </w:r>
    </w:p>
    <w:p>
      <w:pPr>
        <w:jc w:val="left"/>
      </w:pPr>
      <w:r>
        <w:t>Die Zeugen werden zunächst nur benannt, nicht informell befragt, um Beeinflussungsvorwürfe zu vermeiden; Gesprächsprotokolle nur über die Kanzlei.</w:t>
      </w:r>
    </w:p>
    <w:p>
      <w:pPr>
        <w:pStyle w:val="Heading3"/>
      </w:pPr>
      <w:r>
        <w:t>Dokumente</w:t>
      </w:r>
    </w:p>
    <w:p>
      <w:pPr>
        <w:jc w:val="left"/>
      </w:pPr>
      <w:r>
        <w:t>Die E-Mail wird im Original mit Header gesichert; ihre Verwertung wird nicht vorab kommuniziert.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Liefert der Betreiber die Sessiondaten bis zum 10.06.2026?</w:t>
      </w:r>
    </w:p>
    <w:p>
      <w:pPr>
        <w:pStyle w:val="ListBullet"/>
      </w:pPr>
      <w:r>
        <w:t>Welche Kamerasequenzen existieren zum Kollisionszeitpunkt?</w:t>
      </w:r>
    </w:p>
    <w:p>
      <w:pPr>
        <w:pStyle w:val="ListBullet"/>
      </w:pPr>
      <w:r>
        <w:t>Wer benennt den Schärlein-Techniker als Zeugen?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