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Verteidigungslinie Vellbruck</w:t>
      </w:r>
    </w:p>
    <w:p>
      <w:pPr>
        <w:jc w:val="left"/>
      </w:pPr>
      <w:r>
        <w:t>Akte: Akte Vellbruck Robotics GmbH — Roboterflotte AtlasCare / LumaMove / Werkbank C7. Stand: 39.06.2026, interne Arbeitsfassung der Kanzlei Hagemann Rottkamp &amp; Partner.</w:t>
      </w:r>
    </w:p>
    <w:p>
      <w:pPr>
        <w:pStyle w:val="Heading2"/>
      </w:pPr>
      <w:r>
        <w:rPr>
          <w:rFonts w:ascii="Times New Roman" w:hAnsi="Times New Roman"/>
        </w:rPr>
        <w:t>Kernaussage</w:t>
      </w:r>
    </w:p>
    <w:p>
      <w:pPr>
        <w:jc w:val="left"/>
      </w:pPr>
      <w:r>
        <w:t>Dieser Vermerk legt die Verteidigungslinie von Vellbruck im Unfallkomplex fest. Er benennt tragfähige Einwendungen und die Punkte, die intern als Schwachstellen behandelt werden.</w:t>
      </w:r>
    </w:p>
    <w:p>
      <w:pPr>
        <w:pStyle w:val="Heading2"/>
      </w:pPr>
      <w:r>
        <w:rPr>
          <w:rFonts w:ascii="Times New Roman" w:hAnsi="Times New Roman"/>
        </w:rPr>
        <w:t>Einzelpunkte</w:t>
      </w:r>
    </w:p>
    <w:p>
      <w:pPr>
        <w:pStyle w:val="ListBullet"/>
      </w:pPr>
      <w:r>
        <w:t>Einwendungen: Im Zentrum steht die Mitverantwortung des Betreibers: eigenmächtige Parameteränderung, fehlende Unterweisung, unbesetzter Leitstand.</w:t>
      </w:r>
    </w:p>
    <w:p>
      <w:pPr>
        <w:pStyle w:val="ListBullet"/>
      </w:pPr>
      <w:r>
        <w:t>Betreiberfehler: Die E-Mail des Betreibers vom 30.05.2026 räumt die Menünutzung ein; zusammen mit den remote-admin-Einträgen trägt sie eine erhebliche Mitverschuldensquote.</w:t>
      </w:r>
    </w:p>
    <w:p>
      <w:pPr>
        <w:pStyle w:val="Heading2"/>
      </w:pPr>
      <w:r>
        <w:rPr>
          <w:rFonts w:ascii="Times New Roman" w:hAnsi="Times New Roman"/>
        </w:rPr>
        <w:t>Tatsachenstand</w:t>
      </w:r>
    </w:p>
    <w:p>
      <w:pPr>
        <w:jc w:val="left"/>
      </w:pPr>
      <w:r>
        <w:t>Tragend sind die dokumentierte Schutzfeldänderung über das Betreiberkonto, das vertragliche Verbot in Ziffer 7 und die Unterweisungslücke des Schichtteams B; Schwachstellen sind das technisch offene Admin-Menü, die englischsprachigen Warnkapitel und die Marketingaussagen.</w:t>
      </w:r>
    </w:p>
    <w:p>
      <w:pPr>
        <w:jc w:val="left"/>
      </w:pPr>
      <w:r>
        <w:t>Die Linie gegenüber Behörde, Versicherer und Gegenseite muss identisch sein; abweichende Darstellungen in einer der drei Richtungen wären selbst ein Risiko.</w:t>
      </w:r>
    </w:p>
    <w:p>
      <w:pPr>
        <w:pStyle w:val="Heading2"/>
      </w:pPr>
      <w:r>
        <w:rPr>
          <w:rFonts w:ascii="Times New Roman" w:hAnsi="Times New Roman"/>
        </w:rPr>
        <w:t>Detailnotizen</w:t>
      </w:r>
    </w:p>
    <w:p>
      <w:pPr>
        <w:pStyle w:val="Heading3"/>
      </w:pPr>
      <w:r>
        <w:t>Einwendungen</w:t>
      </w:r>
    </w:p>
    <w:p>
      <w:pPr>
        <w:jc w:val="left"/>
      </w:pPr>
      <w:r>
        <w:t>Jede Einwendung wird mit Logzeitpunkt oder Dokument belegt; wertende Zuspitzungen bleiben den Schriftsätzen vorbehalten und werden nicht vorab kommuniziert.</w:t>
      </w:r>
    </w:p>
    <w:p>
      <w:pPr>
        <w:pStyle w:val="Heading3"/>
      </w:pPr>
      <w:r>
        <w:t>Betreiberfehler</w:t>
      </w:r>
    </w:p>
    <w:p>
      <w:pPr>
        <w:jc w:val="left"/>
      </w:pPr>
      <w:r>
        <w:t>Die Quote wird nicht beziffert, bevor die Kontenzuordnung vorliegt; eine überzogene Quote wäre nach der Marketinglage angreifbar.</w:t>
      </w:r>
    </w:p>
    <w:p>
      <w:pPr>
        <w:pStyle w:val="Heading2"/>
      </w:pPr>
      <w:r>
        <w:rPr>
          <w:rFonts w:ascii="Times New Roman" w:hAnsi="Times New Roman"/>
        </w:rPr>
        <w:t>Offene Rückfragen</w:t>
      </w:r>
    </w:p>
    <w:p>
      <w:pPr>
        <w:pStyle w:val="ListBullet"/>
      </w:pPr>
      <w:r>
        <w:t>Hält die Linie, wenn die Kontenzuordnung auf einen Schärlein-Techniker führt?</w:t>
      </w:r>
    </w:p>
    <w:p>
      <w:pPr>
        <w:pStyle w:val="ListBullet"/>
      </w:pPr>
      <w:r>
        <w:t>Wie werden die Marketingaussagen prozessual neutralisiert?</w:t>
      </w:r>
    </w:p>
    <w:p>
      <w:pPr>
        <w:pStyle w:val="ListBullet"/>
      </w:pPr>
      <w:r>
        <w:t>Wer gibt Abweichungen von der Sprachregelung frei?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