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Presse-Q&amp;A</w:t>
      </w:r>
    </w:p>
    <w:p>
      <w:pPr>
        <w:jc w:val="left"/>
      </w:pPr>
      <w:r>
        <w:t>Akte: Akte Vellbruck Robotics GmbH — Roboterflotte AtlasCare / LumaMove / Werkbank C7. Stand: 41.06.2026, interne Arbeitsfassung der Kanzlei Hagemann Rottkamp &amp; Partner.</w:t>
      </w:r>
    </w:p>
    <w:p>
      <w:pPr>
        <w:pStyle w:val="Heading2"/>
      </w:pPr>
      <w:r>
        <w:rPr>
          <w:rFonts w:ascii="Times New Roman" w:hAnsi="Times New Roman"/>
        </w:rPr>
        <w:t>Kernaussage</w:t>
      </w:r>
    </w:p>
    <w:p>
      <w:pPr>
        <w:jc w:val="left"/>
      </w:pPr>
      <w:r>
        <w:t>Dieses Q&amp;A ist die einzige freigegebene Sprachregelung für Presse- und Kundenanfragen zum Vorfall vom 27.05.2026. Antworten außerhalb dieses Dokuments sind nicht autorisiert.</w:t>
      </w:r>
    </w:p>
    <w:p>
      <w:pPr>
        <w:pStyle w:val="Heading2"/>
      </w:pPr>
      <w:r>
        <w:rPr>
          <w:rFonts w:ascii="Times New Roman" w:hAnsi="Times New Roman"/>
        </w:rPr>
        <w:t>Einzelpunkte</w:t>
      </w:r>
    </w:p>
    <w:p>
      <w:pPr>
        <w:pStyle w:val="ListBullet"/>
      </w:pPr>
      <w:r>
        <w:t>Krisenkommunikation: Jede Auskunft läuft über die Kanzlei und die CEO; Support und Vertrieb verweisen auf die Pressestelle und dokumentieren eingehende Anfragen.</w:t>
      </w:r>
    </w:p>
    <w:p>
      <w:pPr>
        <w:pStyle w:val="Heading2"/>
      </w:pPr>
      <w:r>
        <w:rPr>
          <w:rFonts w:ascii="Times New Roman" w:hAnsi="Times New Roman"/>
        </w:rPr>
        <w:t>Tatsachenstand</w:t>
      </w:r>
    </w:p>
    <w:p>
      <w:pPr>
        <w:jc w:val="left"/>
      </w:pPr>
      <w:r>
        <w:t>Eine Fachzeitschrift hat am 02.06.2026 Fragen zum Unfall und zur Sicherheit autonomer Flotten gestellt; in einem Logistikforum kursiert bereits eine verkürzte Darstellung des Vorfalls.</w:t>
      </w:r>
    </w:p>
    <w:p>
      <w:pPr>
        <w:jc w:val="left"/>
      </w:pPr>
      <w:r>
        <w:t>Freigegeben sind ausschließlich: bestätigter Vorfall mit Verletzung, laufende Aufklärung mit externem Sachverständigen, umgesetzte Sofortmaßnahmen; nicht kommentiert werden Ursachen, Schuldfragen und Vertragsdetails.</w:t>
      </w:r>
    </w:p>
    <w:p>
      <w:pPr>
        <w:pStyle w:val="Heading2"/>
      </w:pPr>
      <w:r>
        <w:rPr>
          <w:rFonts w:ascii="Times New Roman" w:hAnsi="Times New Roman"/>
        </w:rPr>
        <w:t>Detailnotizen</w:t>
      </w:r>
    </w:p>
    <w:p>
      <w:pPr>
        <w:pStyle w:val="Heading3"/>
      </w:pPr>
      <w:r>
        <w:t>Krisenkommunikation</w:t>
      </w:r>
    </w:p>
    <w:p>
      <w:pPr>
        <w:jc w:val="left"/>
      </w:pPr>
      <w:r>
        <w:t>Das Q&amp;A enthält wortlautfeste Antworten auf die zwölf wahrscheinlichsten Fragen; Abweichungen bedürfen der Freigabe durch Rottkamp oder die CEO, Änderungshistorie wird geführt.</w:t>
      </w:r>
    </w:p>
    <w:p>
      <w:pPr>
        <w:pStyle w:val="Heading2"/>
      </w:pPr>
      <w:r>
        <w:rPr>
          <w:rFonts w:ascii="Times New Roman" w:hAnsi="Times New Roman"/>
        </w:rPr>
        <w:t>Offene Rückfragen</w:t>
      </w:r>
    </w:p>
    <w:p>
      <w:pPr>
        <w:pStyle w:val="ListBullet"/>
      </w:pPr>
      <w:r>
        <w:t>Wer beantwortet die Anfrage der Fachzeitschrift bis wann?</w:t>
      </w:r>
    </w:p>
    <w:p>
      <w:pPr>
        <w:pStyle w:val="ListBullet"/>
      </w:pPr>
      <w:r>
        <w:t>Wie wird auf die Forumsdarstellung reagiert, wenn Kunden nachfragen?</w:t>
      </w:r>
    </w:p>
    <w:p>
      <w:pPr>
        <w:pStyle w:val="ListBullet"/>
      </w:pPr>
      <w:r>
        <w:t>Welche Aussagen sind gegenüber Bestandskunden zusätzlich freigegeben?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