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Behördenantwort Entwurf</w:t>
      </w:r>
    </w:p>
    <w:p>
      <w:pPr>
        <w:jc w:val="left"/>
      </w:pPr>
      <w:r>
        <w:t>Akte: Akte Vellbruck Robotics GmbH — Roboterflotte AtlasCare / LumaMove / Werkbank C7. Stand: 42.06.2026,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Entwurf ist die förmliche Antwort an die Regierung von Oberbayern zur Unterlagenanforderung mit Frist 19.06.2026. Er übergibt den eingefrorenen Dokumentationsstand und benennt Nachlieferungen.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Unterlagen: Jedes Dokument wird mit Version, Datum und Verantwortlichem übergeben; Vollständigkeit wird nur je Dokument, nicht pauschal erklärt.</w:t>
      </w:r>
    </w:p>
    <w:p>
      <w:pPr>
        <w:pStyle w:val="ListBullet"/>
      </w:pPr>
      <w:r>
        <w:t>Maßnahmen: Dargestellt werden die drei Stufen der Field Action mit Umsetzungsdaten je Kunde sowie die Sperrung des Admin-Menüs als Sofortmaßnahme.</w:t>
      </w:r>
    </w:p>
    <w:p>
      <w:pPr>
        <w:pStyle w:val="ListBullet"/>
      </w:pPr>
      <w:r>
        <w:t>Vorbehalt: Zur Unfallursache wird auf die laufende sachverständige Aufklärung verwiesen; Wertungen werden ausdrücklich vorbehalten.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Beigefügt werden technische Dokumentation (Stand 12.06.2026), Risikobeurteilung mit Änderungsvermerk, Konformitätsunterlagen mit offengelegtem Entwurfsstand, Eventlog-Auswertung und Maßnahmenprotokoll der Field Action.</w:t>
      </w:r>
    </w:p>
    <w:p>
      <w:pPr>
        <w:jc w:val="left"/>
      </w:pPr>
      <w:r>
        <w:t>Nachgeliefert werden die deutschen Anleitungskapitel 4 und 7 (Übersetzungstermin 03.07.2026) und der Validierungsbericht zu Patch 2.7.1.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Unterlagen</w:t>
      </w:r>
    </w:p>
    <w:p>
      <w:pPr>
        <w:jc w:val="left"/>
      </w:pPr>
      <w:r>
        <w:t>Das Anschreiben enthält eine Übergabeliste als Anlage; Abweichungen zwischen ausgeliefertem Stand und Aktenstand werden aktiv benannt statt kaschiert.</w:t>
      </w:r>
    </w:p>
    <w:p>
      <w:pPr>
        <w:pStyle w:val="Heading3"/>
      </w:pPr>
      <w:r>
        <w:t>Maßnahmen</w:t>
      </w:r>
    </w:p>
    <w:p>
      <w:pPr>
        <w:jc w:val="left"/>
      </w:pPr>
      <w:r>
        <w:t>Die Darstellung bleibt bei dokumentierten Fakten mit Zeitstempel; Prognosen zur Unfallursache enthält die Antwort nicht.</w:t>
      </w:r>
    </w:p>
    <w:p>
      <w:pPr>
        <w:pStyle w:val="Heading3"/>
      </w:pPr>
      <w:r>
        <w:t>Vorbehalt</w:t>
      </w:r>
    </w:p>
    <w:p>
      <w:pPr>
        <w:jc w:val="left"/>
      </w:pPr>
      <w:r>
        <w:t>Der Vorbehalt wird förmlich formuliert, ohne die Kooperationsbereitschaft in Frage zu stellen; Ansprechpartnerin für Rückfragen ist ausschließlich die Kanzlei.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Akzeptiert die Behörde den Nachlieferungstermin 03.07.2026?</w:t>
      </w:r>
    </w:p>
    <w:p>
      <w:pPr>
        <w:pStyle w:val="ListBullet"/>
      </w:pPr>
      <w:r>
        <w:t>Verlangt die Behörde eine eigene Vorfallsmeldung neben der Antwort?</w:t>
      </w:r>
    </w:p>
    <w:p>
      <w:pPr>
        <w:pStyle w:val="ListBullet"/>
      </w:pPr>
      <w:r>
        <w:t>Wer zeichnet die Antwort auf Unternehmensseite?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Behördenantwort Entwurf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Behördenantwort Entwurf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