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Vorstandsmemo Risikooptionen</w:t>
      </w:r>
    </w:p>
    <w:p>
      <w:pPr>
        <w:jc w:val="left"/>
      </w:pPr>
      <w:r>
        <w:t>Akte: Akte Vellbruck Robotics GmbH — Roboterflotte AtlasCare / LumaMove / Werkbank C7. Stand: 43.06.2026,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Dieses Memo stellt der Geschäftsführung die strategischen Optionen für die nächsten 90 Tage gegenüber: begrenzte Field Action, erweiterter Rückruf oder Pilotstopp. Es quantifiziert Kosten und Folgerisiken je Option.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Optionen: Option A ist verhältnismäßig, solange der Reproduktionstest keinen produktseitigen Fehler zeigt; ein positiver Reproduktionsbefund kippt die Abwägung zu Option B.</w:t>
      </w:r>
    </w:p>
    <w:p>
      <w:pPr>
        <w:pStyle w:val="ListBullet"/>
      </w:pPr>
      <w:r>
        <w:t>Kosten: Die Schätzungen enthalten Forensik, Validierung, Vor-Ort-Einsätze und Kundenkompensationen; nicht enthalten sind Umsatzrisiken aus Kündigungen.</w:t>
      </w:r>
    </w:p>
    <w:p>
      <w:pPr>
        <w:pStyle w:val="ListBullet"/>
      </w:pPr>
      <w:r>
        <w:t>Entscheidungen: Zu entscheiden sind Option, Budgetfreigabe und Kommunikationszeitpunkt; die Entscheidung dokumentiert die Geschäftsführung förmlich.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Option A (Field Action wie geplant) kostet nach Schätzung 380.000 EUR; Option B (Rückruf der Flottenkonfiguration mit Vor-Ort-Umrüstung) rund 1,9 Mio. EUR; Option C (zusätzlicher Stopp des AtlasCare-Piloten) gefährdet den Klinikrollout, senkt aber das Datenschutzrisiko auf null.</w:t>
      </w:r>
    </w:p>
    <w:p>
      <w:pPr>
        <w:jc w:val="left"/>
      </w:pPr>
      <w:r>
        <w:t>Der Versicherer hat die Kostentragung für Option B nicht zugesagt; die Behörde hat bislang keine Maßnahme angeordnet.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Optionen</w:t>
      </w:r>
    </w:p>
    <w:p>
      <w:pPr>
        <w:jc w:val="left"/>
      </w:pPr>
      <w:r>
        <w:t>Die Entscheidung wird an den Reproduktionstest gekoppelt und bis zum 12.06.2026 getroffen; das Memo definiert den Kipppunkt ausdrücklich.</w:t>
      </w:r>
    </w:p>
    <w:p>
      <w:pPr>
        <w:pStyle w:val="Heading3"/>
      </w:pPr>
      <w:r>
        <w:t>Kosten</w:t>
      </w:r>
    </w:p>
    <w:p>
      <w:pPr>
        <w:jc w:val="left"/>
      </w:pPr>
      <w:r>
        <w:t>Die Umsatzrisiken werden je Kunde vom Vertrieb geschätzt und als Bandbreite ergänzt; die Rückstellungsfrage wird mit dem Abschlussprüfer vorabgestimmt.</w:t>
      </w:r>
    </w:p>
    <w:p>
      <w:pPr>
        <w:pStyle w:val="Heading3"/>
      </w:pPr>
      <w:r>
        <w:t>Entscheidungen</w:t>
      </w:r>
    </w:p>
    <w:p>
      <w:pPr>
        <w:jc w:val="left"/>
      </w:pPr>
      <w:r>
        <w:t>Der Beschluss wird mit Datum, Grundlage und Abstimmungsergebnis protokolliert; er ist Teil der Nachweisführung gegenüber Versicherer und Behörde.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Fällt der Reproduktionstest vor dem 12.06.2026 aus?</w:t>
      </w:r>
    </w:p>
    <w:p>
      <w:pPr>
        <w:pStyle w:val="ListBullet"/>
      </w:pPr>
      <w:r>
        <w:t>Trägt der Versicherer die Kosten der Option B mit?</w:t>
      </w:r>
    </w:p>
    <w:p>
      <w:pPr>
        <w:pStyle w:val="ListBullet"/>
      </w:pPr>
      <w:r>
        <w:t>Welche Kunden würden bei Option B prioritär umgerüstet?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