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Export- und Drittstaatenhinweis</w:t>
      </w:r>
    </w:p>
    <w:p>
      <w:pPr>
        <w:jc w:val="left"/>
      </w:pPr>
      <w:r>
        <w:t>Akte: Akte Vellbruck Robotics GmbH — Roboterflotte AtlasCare / LumaMove / Werkbank C7. Stand: 44.06.2026,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 Note prüft die außenwirtschaftlichen Punkte des geplanten Flottenexports in die Schweiz und nach Singapur sowie der Fernwartung aus Drittstaaten.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Drittstaat: Für die Schweiz und Singapur sind Güterlisten- und Endverwendungsprüfung durchzuführen; die Verschlüsselungsfunktionen sind auf Listenpflicht zu prüfen.</w:t>
      </w:r>
    </w:p>
    <w:p>
      <w:pPr>
        <w:pStyle w:val="ListBullet"/>
      </w:pPr>
      <w:r>
        <w:t>Dual-Use: Die AMR-Plattform selbst ist zivil; kritisch sind allenfalls Sensorik-Komponenten und die Verschlüsselung, nicht das Gesamtsystem.</w:t>
      </w:r>
    </w:p>
    <w:p>
      <w:pPr>
        <w:pStyle w:val="ListBullet"/>
      </w:pPr>
      <w:r>
        <w:t>Sanktionen: Die Kunden und ihre Anteilseigner werden gegen die einschlägigen Sanktionslisten geprüft; für den Nachtwartungs-Dienstleister gilt dasselbe.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Zwei Bestandskunden fragen Lieferungen nach Basel und Singapur an; die Fernwartung soll aus dem Münchner Leitstand erfolgen, nachts über einen Dienstleister mit Sitz außerhalb der EU.</w:t>
      </w:r>
    </w:p>
    <w:p>
      <w:pPr>
        <w:jc w:val="left"/>
      </w:pPr>
      <w:r>
        <w:t>Die LumaMove-Einheiten enthalten Verschlüsselungsfunktionen im Kommunikationsmodul; der Researcher-Vorfall VR-884 macht die Exportkonfiguration des Updatekanals zusätzlich relevant.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Drittstaat</w:t>
      </w:r>
    </w:p>
    <w:p>
      <w:pPr>
        <w:jc w:val="left"/>
      </w:pPr>
      <w:r>
        <w:t>Die Güterklassifizierung wird mit Stückliste des Kommunikationsmoduls dokumentiert; ohne abgeschlossene Prüfung werden keine Lieferzusagen gegeben.</w:t>
      </w:r>
    </w:p>
    <w:p>
      <w:pPr>
        <w:pStyle w:val="Heading3"/>
      </w:pPr>
      <w:r>
        <w:t>Dual-Use</w:t>
      </w:r>
    </w:p>
    <w:p>
      <w:pPr>
        <w:jc w:val="left"/>
      </w:pPr>
      <w:r>
        <w:t>Die Bewertung wird je Komponente mit Hersteller-Erklärungen unterlegt; die Klassifizierung wird der Ausfuhranmeldung beigefügt.</w:t>
      </w:r>
    </w:p>
    <w:p>
      <w:pPr>
        <w:pStyle w:val="Heading3"/>
      </w:pPr>
      <w:r>
        <w:t>Sanktionen</w:t>
      </w:r>
    </w:p>
    <w:p>
      <w:pPr>
        <w:jc w:val="left"/>
      </w:pPr>
      <w:r>
        <w:t>Das Screening wird dokumentiert und quartalsweise wiederholt; der Fernwartungszugriff des Dienstleisters wird auf die zugelassenen Kunden begrenzt.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Sind die Verschlüsselungsfunktionen listenpflichtig?</w:t>
      </w:r>
    </w:p>
    <w:p>
      <w:pPr>
        <w:pStyle w:val="ListBullet"/>
      </w:pPr>
      <w:r>
        <w:t>Wer ist wirtschaftlich Berechtigter des Singapur-Kunden?</w:t>
      </w:r>
    </w:p>
    <w:p>
      <w:pPr>
        <w:pStyle w:val="ListBullet"/>
      </w:pPr>
      <w:r>
        <w:t>Aus welchem Staat greift der Nachtdienstleister technisch zu?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