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Privacy-by-Design-Sprint</w:t>
      </w:r>
    </w:p>
    <w:p>
      <w:pPr>
        <w:jc w:val="left"/>
      </w:pPr>
      <w:r>
        <w:t>Akte: Akte Vellbruck Robotics GmbH — Roboterflotte AtlasCare / LumaMove / Werkbank C7. Stand: 47.06.2026,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Sprintplan setzt Privacy by Design für AtlasCare und VellNet Control um. Er übersetzt die DSFA-Befunde in konkrete Backlog-Positionen mit Terminen.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Sensorik: Die Kamera erhält einen hardwareseitigen Aktivierungsindikator und ein signiertes Aktivierungslog; das Mikrofon wird auf Schlüsselwort-Aktivierung umgestellt.</w:t>
      </w:r>
    </w:p>
    <w:p>
      <w:pPr>
        <w:pStyle w:val="ListBullet"/>
      </w:pPr>
      <w:r>
        <w:t>Minimierung: Die Telemetrie wird auf das für Betrieb und Sicherheit Erforderliche reduziert; Bedienerkennungen werden vor der Cloudübertragung pseudonymisiert.</w:t>
      </w:r>
    </w:p>
    <w:p>
      <w:pPr>
        <w:pStyle w:val="ListBullet"/>
      </w:pPr>
      <w:r>
        <w:t>Löschung: Löschfristen sind je Datenart definiert, aber manuell umgesetzt; die Automatisierung fehlt.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Aus der DSFA-Überarbeitung stammen sieben Backlog-Positionen, darunter Ereignissteuerung der Kamera nachweisbar machen, Löschkonzept automatisieren und Telemetrie pseudonymisieren.</w:t>
      </w:r>
    </w:p>
    <w:p>
      <w:pPr>
        <w:jc w:val="left"/>
      </w:pPr>
      <w:r>
        <w:t>Der Sprint läuft vom 08.06. bis 19.06.2026; die Ergebnisse fließen in die DSFA-Anlage und die Klinikantwort ein.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Sensorik</w:t>
      </w:r>
    </w:p>
    <w:p>
      <w:pPr>
        <w:jc w:val="left"/>
      </w:pPr>
      <w:r>
        <w:t>Beide Änderungen werden im Funktionstest dokumentiert; der Test wird Anlage der DSFA und der Patienteninformation.</w:t>
      </w:r>
    </w:p>
    <w:p>
      <w:pPr>
        <w:pStyle w:val="Heading3"/>
      </w:pPr>
      <w:r>
        <w:t>Minimierung</w:t>
      </w:r>
    </w:p>
    <w:p>
      <w:pPr>
        <w:jc w:val="left"/>
      </w:pPr>
      <w:r>
        <w:t>Die Feldliste vorher/nachher wird dokumentiert; die Pseudonymisierungstabelle verbleibt beim Betreiber, nicht in der Cloud.</w:t>
      </w:r>
    </w:p>
    <w:p>
      <w:pPr>
        <w:pStyle w:val="Heading3"/>
      </w:pPr>
      <w:r>
        <w:t>Löschung</w:t>
      </w:r>
    </w:p>
    <w:p>
      <w:pPr>
        <w:jc w:val="left"/>
      </w:pPr>
      <w:r>
        <w:t>Die Löschjobs werden automatisiert und protokolliert; der erste Löschlauf wird als Nachweis für die Klinik dokumentiert.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Bestätigt der Funktionstest die Schlüsselwort-Aktivierung zuverlässig?</w:t>
      </w:r>
    </w:p>
    <w:p>
      <w:pPr>
        <w:pStyle w:val="ListBullet"/>
      </w:pPr>
      <w:r>
        <w:t>Wo liegt die Pseudonymisierungstabelle organisatorisch?</w:t>
      </w:r>
    </w:p>
    <w:p>
      <w:pPr>
        <w:pStyle w:val="ListBullet"/>
      </w:pPr>
      <w:r>
        <w:t>Welche Datenarten behalten längere Fristen und warum?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