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Kundenmail Korrekturmaßnahme</w:t>
      </w:r>
    </w:p>
    <w:p>
      <w:pPr>
        <w:jc w:val="left"/>
      </w:pPr>
      <w:r>
        <w:t>Akte: Akte Vellbruck Robotics GmbH — Roboterflotte AtlasCare / LumaMove / Werkbank C7. Stand: 52.06.2026,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 Muster-E-Mail informiert die Flottenkunden über die Field Action zu Patch 2.7.1. Sie ist je Kunde zu individualisieren und mit Lesebestätigung zu versenden.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Field Action: Die Mail benennt Anlass (sicherheitsrelevante Konfigurationsmöglichkeit, Schwachstelle im Legacy-Kanal) ohne Ursachenzuweisung zum Unfall; sie bittet um Bestätigung des Wartungsfensters.</w:t>
      </w:r>
    </w:p>
    <w:p>
      <w:pPr>
        <w:pStyle w:val="ListBullet"/>
      </w:pPr>
      <w:r>
        <w:t>Patch: Der technische Anhang beschreibt Paketinhalte, Rollout-Reihenfolge und Rollback-Möglichkeit; die Stufen 1 und 2 laufen ohne Betriebsunterbrechung.</w:t>
      </w:r>
    </w:p>
    <w:p>
      <w:pPr>
        <w:pStyle w:val="ListBullet"/>
      </w:pPr>
      <w:r>
        <w:t>Schulung: Mit Stufe 3 erhalten die Kunden aktualisierte Schulungsunterlagen einschließlich der neuen Warnhinweise zum Schutzfeldverhalten.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Die Mail kündigt drei Stufen an: Sperrung des Admin-Menüs für Betreiberrollen, Schließung des Legacy-Updatekanals mit Übergangsfrist, Einspielung der überarbeiteten Sicherheitsparameter nach Validierung im bestätigten Wartungsfenster.</w:t>
      </w:r>
    </w:p>
    <w:p>
      <w:pPr>
        <w:jc w:val="left"/>
      </w:pPr>
      <w:r>
        <w:t>Für die drei Legacy-Kunden enthält die Mail einen gesonderten Migrationsabschnitt mit Funktionsübergang und Terminvorschlag.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Field Action</w:t>
      </w:r>
    </w:p>
    <w:p>
      <w:pPr>
        <w:jc w:val="left"/>
      </w:pPr>
      <w:r>
        <w:t>Die Formulierungen sind mit der Sprachregelung (Aktenstück 41) abgeglichen; jede Kundenantwort wird im Vorfallsregister dokumentiert.</w:t>
      </w:r>
    </w:p>
    <w:p>
      <w:pPr>
        <w:pStyle w:val="Heading3"/>
      </w:pPr>
      <w:r>
        <w:t>Patch</w:t>
      </w:r>
    </w:p>
    <w:p>
      <w:pPr>
        <w:jc w:val="left"/>
      </w:pPr>
      <w:r>
        <w:t>Der Anhang wird von Rodenwald technisch und von der Kanzlei rechtlich freigegeben; Versionsstand des Anhangs wird in der Mail genannt.</w:t>
      </w:r>
    </w:p>
    <w:p>
      <w:pPr>
        <w:pStyle w:val="Heading3"/>
      </w:pPr>
      <w:r>
        <w:t>Schulung</w:t>
      </w:r>
    </w:p>
    <w:p>
      <w:pPr>
        <w:jc w:val="left"/>
      </w:pPr>
      <w:r>
        <w:t>Die Übergabe der Unterlagen wird mit Empfangsbestätigung dokumentiert; sie ist Teil der Instruktionsnachweise für den Haftungsfall.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Bestätigen alle Kunden die Wartungsfenster binnen zwei Wochen?</w:t>
      </w:r>
    </w:p>
    <w:p>
      <w:pPr>
        <w:pStyle w:val="ListBullet"/>
      </w:pPr>
      <w:r>
        <w:t>Wie reagieren die Legacy-Kunden auf den Migrationsplan?</w:t>
      </w:r>
    </w:p>
    <w:p>
      <w:pPr>
        <w:pStyle w:val="ListBullet"/>
      </w:pPr>
      <w:r>
        <w:t>Wer beantwortet technische Rückfragen zur Mail?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